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C798" w14:textId="2657C78A" w:rsidR="00857772" w:rsidRDefault="00857772">
      <w:pPr>
        <w:pStyle w:val="Heading2"/>
        <w:tabs>
          <w:tab w:val="left" w:pos="5400"/>
        </w:tabs>
        <w:jc w:val="center"/>
        <w:rPr>
          <w:sz w:val="22"/>
        </w:rPr>
      </w:pPr>
      <w:r>
        <w:rPr>
          <w:sz w:val="22"/>
        </w:rPr>
        <w:t>PMG-</w:t>
      </w:r>
      <w:r w:rsidR="00320161">
        <w:rPr>
          <w:sz w:val="22"/>
        </w:rPr>
        <w:t>E</w:t>
      </w:r>
      <w:r w:rsidR="0099637F">
        <w:rPr>
          <w:sz w:val="22"/>
        </w:rPr>
        <w:t>1</w:t>
      </w:r>
      <w:r w:rsidR="00C71D74">
        <w:rPr>
          <w:sz w:val="22"/>
        </w:rPr>
        <w:t>0</w:t>
      </w:r>
      <w:r w:rsidRPr="00571E02">
        <w:rPr>
          <w:rFonts w:cs="Arial"/>
          <w:sz w:val="22"/>
          <w:szCs w:val="22"/>
        </w:rPr>
        <w:t xml:space="preserve">:  </w:t>
      </w:r>
      <w:r w:rsidR="007C718C" w:rsidRPr="00571E02">
        <w:rPr>
          <w:rFonts w:cs="Arial"/>
          <w:sz w:val="22"/>
          <w:szCs w:val="22"/>
        </w:rPr>
        <w:t>Prepar</w:t>
      </w:r>
      <w:r w:rsidR="007C718C">
        <w:rPr>
          <w:rFonts w:cs="Arial"/>
          <w:sz w:val="22"/>
          <w:szCs w:val="22"/>
        </w:rPr>
        <w:t xml:space="preserve">ation of </w:t>
      </w:r>
      <w:r w:rsidR="00571E02">
        <w:rPr>
          <w:rFonts w:cs="Arial"/>
          <w:sz w:val="22"/>
          <w:szCs w:val="22"/>
        </w:rPr>
        <w:t>CM or D/B</w:t>
      </w:r>
      <w:r w:rsidR="00571E02" w:rsidRPr="00571E02">
        <w:rPr>
          <w:rFonts w:cs="Arial"/>
          <w:sz w:val="22"/>
          <w:szCs w:val="22"/>
        </w:rPr>
        <w:t xml:space="preserve"> Guaranteed Maximum Price Proposals</w:t>
      </w:r>
    </w:p>
    <w:p w14:paraId="2A75C799" w14:textId="77777777" w:rsidR="00857772" w:rsidRPr="00C94D90" w:rsidRDefault="00857772">
      <w:pPr>
        <w:pStyle w:val="BodyText3"/>
        <w:rPr>
          <w:rFonts w:ascii="Book Antiqua" w:hAnsi="Book Antiqua"/>
          <w:smallCaps/>
          <w:szCs w:val="20"/>
        </w:rPr>
      </w:pPr>
    </w:p>
    <w:p w14:paraId="257A1BF9" w14:textId="77777777" w:rsidR="0011466E" w:rsidRDefault="0011466E" w:rsidP="0011466E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6B334EDE" w14:textId="77777777" w:rsidR="0011466E" w:rsidRPr="00320161" w:rsidRDefault="0011466E" w:rsidP="0011466E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320161">
        <w:rPr>
          <w:rFonts w:ascii="Arial" w:hAnsi="Arial" w:cs="Arial"/>
          <w:sz w:val="20"/>
          <w:szCs w:val="20"/>
        </w:rPr>
        <w:t>PURPOSE:</w:t>
      </w:r>
      <w:r w:rsidRPr="00320161">
        <w:rPr>
          <w:rFonts w:ascii="Arial" w:hAnsi="Arial" w:cs="Arial"/>
          <w:b/>
          <w:sz w:val="20"/>
          <w:szCs w:val="20"/>
        </w:rPr>
        <w:tab/>
      </w:r>
      <w:r w:rsidRPr="00320161">
        <w:rPr>
          <w:rFonts w:ascii="Arial" w:hAnsi="Arial" w:cs="Arial"/>
          <w:sz w:val="20"/>
          <w:szCs w:val="20"/>
        </w:rPr>
        <w:t>To describe the requirements for development of Guaranteed Maximum Price (GMP proposals by Construction Management (CM) or Design/Build (D/B) builders.</w:t>
      </w:r>
    </w:p>
    <w:p w14:paraId="2A6595AF" w14:textId="77777777" w:rsidR="0011466E" w:rsidRPr="00320161" w:rsidRDefault="0011466E" w:rsidP="001146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AA12284" w14:textId="6D13001E" w:rsidR="00CC26C7" w:rsidRDefault="00CC26C7" w:rsidP="001146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INTRODUCTION:</w:t>
      </w:r>
    </w:p>
    <w:p w14:paraId="0CF873F1" w14:textId="45EA14E8" w:rsidR="003D2AD7" w:rsidRDefault="003D2AD7" w:rsidP="001146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030F321" w14:textId="0BA138CA" w:rsidR="00F439A7" w:rsidRDefault="00F439A7" w:rsidP="001146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439A7">
        <w:rPr>
          <w:rFonts w:ascii="Arial" w:hAnsi="Arial" w:cs="Arial"/>
          <w:sz w:val="20"/>
          <w:szCs w:val="20"/>
        </w:rPr>
        <w:t>Due to recent Florida Legislative, Board of Governors, UF Board of Trustees, and UF Administration policy changes related to the use of State appropriated E&amp;G/Carry Forward funds, additional guidelines as specified in this policy shall be followed for construction projects utilizing E&amp;G source(s) of funds as follows;</w:t>
      </w:r>
    </w:p>
    <w:p w14:paraId="430C4DF0" w14:textId="77777777" w:rsidR="00F439A7" w:rsidRDefault="00F439A7" w:rsidP="001146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0822E72" w14:textId="45FEA930" w:rsidR="00CC26C7" w:rsidRPr="00CC26C7" w:rsidRDefault="00CC26C7" w:rsidP="003D2A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96588">
        <w:rPr>
          <w:rFonts w:ascii="Arial" w:hAnsi="Arial" w:cs="Arial"/>
          <w:sz w:val="20"/>
          <w:szCs w:val="20"/>
          <w:u w:val="single"/>
        </w:rPr>
        <w:t>Internal</w:t>
      </w:r>
      <w:r w:rsidR="00A96588" w:rsidRPr="00A96588">
        <w:rPr>
          <w:rFonts w:ascii="Arial" w:hAnsi="Arial" w:cs="Arial"/>
          <w:sz w:val="20"/>
          <w:szCs w:val="20"/>
          <w:u w:val="single"/>
        </w:rPr>
        <w:t xml:space="preserve"> PMG</w:t>
      </w:r>
      <w:r w:rsidRPr="00CC26C7">
        <w:rPr>
          <w:rFonts w:ascii="Arial" w:hAnsi="Arial" w:cs="Arial"/>
          <w:sz w:val="20"/>
          <w:szCs w:val="20"/>
        </w:rPr>
        <w:t>: Upon meeting with the client/user group,</w:t>
      </w:r>
      <w:r w:rsidR="00A96588">
        <w:rPr>
          <w:rFonts w:ascii="Arial" w:hAnsi="Arial" w:cs="Arial"/>
          <w:sz w:val="20"/>
          <w:szCs w:val="20"/>
        </w:rPr>
        <w:t xml:space="preserve"> and development of the Facility Program,</w:t>
      </w:r>
      <w:r w:rsidRPr="00CC26C7">
        <w:rPr>
          <w:rFonts w:ascii="Arial" w:hAnsi="Arial" w:cs="Arial"/>
          <w:sz w:val="20"/>
          <w:szCs w:val="20"/>
        </w:rPr>
        <w:t xml:space="preserve"> the UF Project Manager will determine if the project scope includes both renovation</w:t>
      </w:r>
      <w:r w:rsidR="00A96588">
        <w:rPr>
          <w:rFonts w:ascii="Arial" w:hAnsi="Arial" w:cs="Arial"/>
          <w:sz w:val="20"/>
          <w:szCs w:val="20"/>
        </w:rPr>
        <w:t>/remodeling</w:t>
      </w:r>
      <w:r w:rsidRPr="00CC26C7">
        <w:rPr>
          <w:rFonts w:ascii="Arial" w:hAnsi="Arial" w:cs="Arial"/>
          <w:sz w:val="20"/>
          <w:szCs w:val="20"/>
        </w:rPr>
        <w:t xml:space="preserve"> of existing space</w:t>
      </w:r>
      <w:r w:rsidR="00A96588">
        <w:rPr>
          <w:rFonts w:ascii="Arial" w:hAnsi="Arial" w:cs="Arial"/>
          <w:sz w:val="20"/>
          <w:szCs w:val="20"/>
        </w:rPr>
        <w:t>,</w:t>
      </w:r>
      <w:r w:rsidRPr="00CC26C7">
        <w:rPr>
          <w:rFonts w:ascii="Arial" w:hAnsi="Arial" w:cs="Arial"/>
          <w:sz w:val="20"/>
          <w:szCs w:val="20"/>
        </w:rPr>
        <w:t xml:space="preserve"> and</w:t>
      </w:r>
      <w:r w:rsidR="00A96588">
        <w:rPr>
          <w:rFonts w:ascii="Arial" w:hAnsi="Arial" w:cs="Arial"/>
          <w:sz w:val="20"/>
          <w:szCs w:val="20"/>
        </w:rPr>
        <w:t>/or</w:t>
      </w:r>
      <w:r w:rsidRPr="00CC26C7">
        <w:rPr>
          <w:rFonts w:ascii="Arial" w:hAnsi="Arial" w:cs="Arial"/>
          <w:sz w:val="20"/>
          <w:szCs w:val="20"/>
        </w:rPr>
        <w:t xml:space="preserve"> new construction. If the scope includes both, </w:t>
      </w:r>
      <w:r w:rsidR="00A96588">
        <w:rPr>
          <w:rFonts w:ascii="Arial" w:hAnsi="Arial" w:cs="Arial"/>
          <w:sz w:val="20"/>
          <w:szCs w:val="20"/>
        </w:rPr>
        <w:t xml:space="preserve">the </w:t>
      </w:r>
      <w:r w:rsidRPr="00CC26C7">
        <w:rPr>
          <w:rFonts w:ascii="Arial" w:hAnsi="Arial" w:cs="Arial"/>
          <w:sz w:val="20"/>
          <w:szCs w:val="20"/>
        </w:rPr>
        <w:t xml:space="preserve">PM must </w:t>
      </w:r>
      <w:r w:rsidR="00A96588">
        <w:rPr>
          <w:rFonts w:ascii="Arial" w:hAnsi="Arial" w:cs="Arial"/>
          <w:sz w:val="20"/>
          <w:szCs w:val="20"/>
        </w:rPr>
        <w:t>consult with the user group whether</w:t>
      </w:r>
      <w:r w:rsidRPr="00CC26C7">
        <w:rPr>
          <w:rFonts w:ascii="Arial" w:hAnsi="Arial" w:cs="Arial"/>
          <w:sz w:val="20"/>
          <w:szCs w:val="20"/>
        </w:rPr>
        <w:t xml:space="preserve"> E&amp;G</w:t>
      </w:r>
      <w:r w:rsidR="00A96588">
        <w:rPr>
          <w:rFonts w:ascii="Arial" w:hAnsi="Arial" w:cs="Arial"/>
          <w:sz w:val="20"/>
          <w:szCs w:val="20"/>
        </w:rPr>
        <w:t>/Carry Forward</w:t>
      </w:r>
      <w:r w:rsidRPr="00CC26C7">
        <w:rPr>
          <w:rFonts w:ascii="Arial" w:hAnsi="Arial" w:cs="Arial"/>
          <w:sz w:val="20"/>
          <w:szCs w:val="20"/>
        </w:rPr>
        <w:t xml:space="preserve"> funds will be utilized </w:t>
      </w:r>
      <w:r w:rsidR="00A96588">
        <w:rPr>
          <w:rFonts w:ascii="Arial" w:hAnsi="Arial" w:cs="Arial"/>
          <w:sz w:val="20"/>
          <w:szCs w:val="20"/>
        </w:rPr>
        <w:t>as a project funding source</w:t>
      </w:r>
      <w:r w:rsidRPr="00CC26C7">
        <w:rPr>
          <w:rFonts w:ascii="Arial" w:hAnsi="Arial" w:cs="Arial"/>
          <w:sz w:val="20"/>
          <w:szCs w:val="20"/>
        </w:rPr>
        <w:t>.</w:t>
      </w:r>
      <w:r w:rsidR="00A96588">
        <w:rPr>
          <w:rFonts w:ascii="Arial" w:hAnsi="Arial" w:cs="Arial"/>
          <w:sz w:val="20"/>
          <w:szCs w:val="20"/>
        </w:rPr>
        <w:t xml:space="preserve"> </w:t>
      </w:r>
      <w:r w:rsidR="00251EF7">
        <w:rPr>
          <w:rFonts w:ascii="Arial" w:hAnsi="Arial" w:cs="Arial"/>
          <w:sz w:val="20"/>
          <w:szCs w:val="20"/>
        </w:rPr>
        <w:t xml:space="preserve">This will aid in determining the extent to which delineation of GMP Proposals, Purchase Orders, and Pay Applications will be </w:t>
      </w:r>
      <w:r w:rsidR="003D2AD7">
        <w:rPr>
          <w:rFonts w:ascii="Arial" w:hAnsi="Arial" w:cs="Arial"/>
          <w:sz w:val="20"/>
          <w:szCs w:val="20"/>
        </w:rPr>
        <w:t>required.</w:t>
      </w:r>
      <w:r w:rsidR="00AE0180">
        <w:rPr>
          <w:rFonts w:ascii="Arial" w:hAnsi="Arial" w:cs="Arial"/>
          <w:sz w:val="20"/>
          <w:szCs w:val="20"/>
        </w:rPr>
        <w:t xml:space="preserve"> </w:t>
      </w:r>
    </w:p>
    <w:p w14:paraId="4D3CCF36" w14:textId="77777777" w:rsidR="00CC26C7" w:rsidRPr="00CC26C7" w:rsidRDefault="00CC26C7" w:rsidP="003D2A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8859AD2" w14:textId="7A9DE057" w:rsidR="00CC26C7" w:rsidRDefault="00CC26C7" w:rsidP="003D2A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Hlk19105523"/>
      <w:r w:rsidRPr="00A96588">
        <w:rPr>
          <w:rFonts w:ascii="Arial" w:hAnsi="Arial" w:cs="Arial"/>
          <w:sz w:val="20"/>
          <w:szCs w:val="20"/>
          <w:u w:val="single"/>
        </w:rPr>
        <w:t>External P</w:t>
      </w:r>
      <w:r w:rsidR="00A96588" w:rsidRPr="00A96588">
        <w:rPr>
          <w:rFonts w:ascii="Arial" w:hAnsi="Arial" w:cs="Arial"/>
          <w:sz w:val="20"/>
          <w:szCs w:val="20"/>
          <w:u w:val="single"/>
        </w:rPr>
        <w:t>MG</w:t>
      </w:r>
      <w:r w:rsidRPr="00CC26C7">
        <w:rPr>
          <w:rFonts w:ascii="Arial" w:hAnsi="Arial" w:cs="Arial"/>
          <w:sz w:val="20"/>
          <w:szCs w:val="20"/>
        </w:rPr>
        <w:t>: If E&amp;G</w:t>
      </w:r>
      <w:r w:rsidR="003D2AD7">
        <w:rPr>
          <w:rFonts w:ascii="Arial" w:hAnsi="Arial" w:cs="Arial"/>
          <w:sz w:val="20"/>
          <w:szCs w:val="20"/>
        </w:rPr>
        <w:t>/Carry Forward</w:t>
      </w:r>
      <w:r w:rsidRPr="00CC26C7">
        <w:rPr>
          <w:rFonts w:ascii="Arial" w:hAnsi="Arial" w:cs="Arial"/>
          <w:sz w:val="20"/>
          <w:szCs w:val="20"/>
        </w:rPr>
        <w:t xml:space="preserve"> funding </w:t>
      </w:r>
      <w:r w:rsidR="003D2AD7">
        <w:rPr>
          <w:rFonts w:ascii="Arial" w:hAnsi="Arial" w:cs="Arial"/>
          <w:sz w:val="20"/>
          <w:szCs w:val="20"/>
        </w:rPr>
        <w:t>will</w:t>
      </w:r>
      <w:r w:rsidRPr="00CC26C7">
        <w:rPr>
          <w:rFonts w:ascii="Arial" w:hAnsi="Arial" w:cs="Arial"/>
          <w:sz w:val="20"/>
          <w:szCs w:val="20"/>
        </w:rPr>
        <w:t xml:space="preserve"> be utilized, CM/DB is required to prepare separate GMPs each </w:t>
      </w:r>
      <w:r w:rsidR="003D2AD7">
        <w:rPr>
          <w:rFonts w:ascii="Arial" w:hAnsi="Arial" w:cs="Arial"/>
          <w:sz w:val="20"/>
          <w:szCs w:val="20"/>
        </w:rPr>
        <w:t xml:space="preserve">for both the Renovation/Remodeling and New Construction </w:t>
      </w:r>
      <w:r w:rsidRPr="00CC26C7">
        <w:rPr>
          <w:rFonts w:ascii="Arial" w:hAnsi="Arial" w:cs="Arial"/>
          <w:sz w:val="20"/>
          <w:szCs w:val="20"/>
        </w:rPr>
        <w:t>scope</w:t>
      </w:r>
      <w:r w:rsidR="003D2AD7">
        <w:rPr>
          <w:rFonts w:ascii="Arial" w:hAnsi="Arial" w:cs="Arial"/>
          <w:sz w:val="20"/>
          <w:szCs w:val="20"/>
        </w:rPr>
        <w:t>s</w:t>
      </w:r>
      <w:r w:rsidRPr="00CC26C7">
        <w:rPr>
          <w:rFonts w:ascii="Arial" w:hAnsi="Arial" w:cs="Arial"/>
          <w:sz w:val="20"/>
          <w:szCs w:val="20"/>
        </w:rPr>
        <w:t xml:space="preserve">. GMP </w:t>
      </w:r>
      <w:r w:rsidR="003D2AD7">
        <w:rPr>
          <w:rFonts w:ascii="Arial" w:hAnsi="Arial" w:cs="Arial"/>
          <w:sz w:val="20"/>
          <w:szCs w:val="20"/>
        </w:rPr>
        <w:t xml:space="preserve">“A” </w:t>
      </w:r>
      <w:r w:rsidRPr="00CC26C7">
        <w:rPr>
          <w:rFonts w:ascii="Arial" w:hAnsi="Arial" w:cs="Arial"/>
          <w:sz w:val="20"/>
          <w:szCs w:val="20"/>
        </w:rPr>
        <w:t>will be specific to the renovation scope only</w:t>
      </w:r>
      <w:r w:rsidR="00F439A7">
        <w:rPr>
          <w:rFonts w:ascii="Arial" w:hAnsi="Arial" w:cs="Arial"/>
          <w:sz w:val="20"/>
          <w:szCs w:val="20"/>
        </w:rPr>
        <w:t>,</w:t>
      </w:r>
      <w:r w:rsidR="003D2AD7">
        <w:rPr>
          <w:rFonts w:ascii="Arial" w:hAnsi="Arial" w:cs="Arial"/>
          <w:sz w:val="20"/>
          <w:szCs w:val="20"/>
        </w:rPr>
        <w:t xml:space="preserve"> and </w:t>
      </w:r>
      <w:r w:rsidRPr="00CC26C7">
        <w:rPr>
          <w:rFonts w:ascii="Arial" w:hAnsi="Arial" w:cs="Arial"/>
          <w:sz w:val="20"/>
          <w:szCs w:val="20"/>
        </w:rPr>
        <w:t xml:space="preserve">GMP </w:t>
      </w:r>
      <w:r w:rsidR="003D2AD7">
        <w:rPr>
          <w:rFonts w:ascii="Arial" w:hAnsi="Arial" w:cs="Arial"/>
          <w:sz w:val="20"/>
          <w:szCs w:val="20"/>
        </w:rPr>
        <w:t xml:space="preserve">“B” </w:t>
      </w:r>
      <w:r w:rsidRPr="00CC26C7">
        <w:rPr>
          <w:rFonts w:ascii="Arial" w:hAnsi="Arial" w:cs="Arial"/>
          <w:sz w:val="20"/>
          <w:szCs w:val="20"/>
        </w:rPr>
        <w:t>will be specific for the new construction scope of the total project. UF-PDC will issue separate purchase orders for each GMP. CM/DB will be required to prepare separate pay applications and pre-construction service invoices (if services are required) for each scope/purchase order. Material packages that qualify for the UF Owner Direct Program will also be specific to the respective GMP that material is identified in.</w:t>
      </w:r>
    </w:p>
    <w:bookmarkEnd w:id="0"/>
    <w:p w14:paraId="33E0D583" w14:textId="77777777" w:rsidR="003D2AD7" w:rsidRDefault="003D2AD7" w:rsidP="00CC26C7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</w:p>
    <w:p w14:paraId="34998995" w14:textId="77777777" w:rsidR="0011466E" w:rsidRPr="00320161" w:rsidRDefault="0011466E" w:rsidP="001146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F401950" w14:textId="4E7DDD8C" w:rsidR="00CC26C7" w:rsidRDefault="00CC26C7" w:rsidP="001146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EXECUTION:</w:t>
      </w:r>
    </w:p>
    <w:p w14:paraId="4DA92591" w14:textId="77777777" w:rsidR="003D2AD7" w:rsidRDefault="003D2AD7" w:rsidP="001146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18034FF" w14:textId="77777777" w:rsidR="003D2AD7" w:rsidRPr="00320161" w:rsidRDefault="003D2AD7" w:rsidP="003D2A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161">
        <w:rPr>
          <w:rFonts w:ascii="Arial" w:hAnsi="Arial" w:cs="Arial"/>
          <w:sz w:val="20"/>
          <w:szCs w:val="20"/>
        </w:rPr>
        <w:t>One or more Guaranteed Maximum Price (GMP) proposals shall be developed at the phase(s) specified in the Agreement for Construction Management Services or Agreement for Design/Build Services.</w:t>
      </w:r>
    </w:p>
    <w:p w14:paraId="48F95D61" w14:textId="77777777" w:rsidR="003D2AD7" w:rsidRDefault="003D2AD7" w:rsidP="001146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13FF3DF" w14:textId="0AFCCC8E" w:rsidR="0011466E" w:rsidRPr="00320161" w:rsidRDefault="0011466E" w:rsidP="001146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161">
        <w:rPr>
          <w:rFonts w:ascii="Arial" w:hAnsi="Arial" w:cs="Arial"/>
          <w:sz w:val="20"/>
          <w:szCs w:val="20"/>
        </w:rPr>
        <w:t>The GMP proposal shall be entitled "Guaranteed Maximum Price Proposal for “</w:t>
      </w:r>
      <w:r w:rsidRPr="00320161">
        <w:rPr>
          <w:rFonts w:ascii="Arial" w:hAnsi="Arial" w:cs="Arial"/>
          <w:i/>
          <w:iCs/>
          <w:sz w:val="20"/>
          <w:szCs w:val="20"/>
        </w:rPr>
        <w:t>(</w:t>
      </w:r>
      <w:r w:rsidRPr="00320161">
        <w:rPr>
          <w:rFonts w:ascii="Arial" w:hAnsi="Arial" w:cs="Arial"/>
          <w:iCs/>
          <w:sz w:val="20"/>
          <w:szCs w:val="20"/>
        </w:rPr>
        <w:t xml:space="preserve">name of </w:t>
      </w:r>
      <w:r w:rsidRPr="00320161">
        <w:rPr>
          <w:rFonts w:ascii="Arial" w:hAnsi="Arial" w:cs="Arial"/>
          <w:sz w:val="20"/>
          <w:szCs w:val="20"/>
        </w:rPr>
        <w:t xml:space="preserve">project, project number, phase);" dated on the cover; with pages numbered in the following order: </w:t>
      </w:r>
    </w:p>
    <w:p w14:paraId="0D7B6438" w14:textId="77777777" w:rsidR="0011466E" w:rsidRPr="00320161" w:rsidRDefault="0011466E" w:rsidP="0011466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51C06048" w14:textId="77777777" w:rsidR="0011466E" w:rsidRPr="00320161" w:rsidRDefault="0011466E" w:rsidP="0011466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161">
        <w:rPr>
          <w:rFonts w:ascii="Arial" w:hAnsi="Arial" w:cs="Arial"/>
          <w:sz w:val="20"/>
          <w:szCs w:val="20"/>
        </w:rPr>
        <w:t>Transmittal letter.</w:t>
      </w:r>
    </w:p>
    <w:p w14:paraId="5C3A8861" w14:textId="77777777" w:rsidR="0011466E" w:rsidRPr="00320161" w:rsidRDefault="0011466E" w:rsidP="0011466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4C8EC7C8" w14:textId="77777777" w:rsidR="0011466E" w:rsidRPr="00320161" w:rsidRDefault="0011466E" w:rsidP="0011466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161">
        <w:rPr>
          <w:rFonts w:ascii="Arial" w:hAnsi="Arial" w:cs="Arial"/>
          <w:sz w:val="20"/>
          <w:szCs w:val="20"/>
        </w:rPr>
        <w:t>Table of contents</w:t>
      </w:r>
    </w:p>
    <w:p w14:paraId="1C9315A1" w14:textId="77777777" w:rsidR="0011466E" w:rsidRPr="00320161" w:rsidRDefault="0011466E" w:rsidP="0011466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51B19063" w14:textId="77777777" w:rsidR="0011466E" w:rsidRPr="00320161" w:rsidRDefault="0011466E" w:rsidP="0011466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161">
        <w:rPr>
          <w:rFonts w:ascii="Arial" w:hAnsi="Arial" w:cs="Arial"/>
          <w:sz w:val="20"/>
          <w:szCs w:val="20"/>
        </w:rPr>
        <w:t>Executive Summary (a brief general summary of the project/scope, guaranteed maximum price, schedule, and other notable particulars)</w:t>
      </w:r>
    </w:p>
    <w:p w14:paraId="23FD0A12" w14:textId="77777777" w:rsidR="0011466E" w:rsidRPr="00320161" w:rsidRDefault="0011466E" w:rsidP="0011466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3D7821CA" w14:textId="77777777" w:rsidR="0011466E" w:rsidRPr="00320161" w:rsidRDefault="0011466E" w:rsidP="0011466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161">
        <w:rPr>
          <w:rFonts w:ascii="Arial" w:hAnsi="Arial" w:cs="Arial"/>
          <w:sz w:val="20"/>
          <w:szCs w:val="20"/>
        </w:rPr>
        <w:t>List of Documents.  A recital of the specific Construction Documents, including drawings, specifications, and all addenda thereto, which form the basis of the GMP proposal (project manual(s), drawings by sheet number &amp; date, etc.)</w:t>
      </w:r>
    </w:p>
    <w:p w14:paraId="44B526A3" w14:textId="77777777" w:rsidR="0011466E" w:rsidRPr="00320161" w:rsidRDefault="0011466E" w:rsidP="0011466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74981666" w14:textId="77777777" w:rsidR="0011466E" w:rsidRPr="00320161" w:rsidRDefault="0011466E" w:rsidP="0011466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161">
        <w:rPr>
          <w:rFonts w:ascii="Arial" w:hAnsi="Arial" w:cs="Arial"/>
          <w:sz w:val="20"/>
          <w:szCs w:val="20"/>
        </w:rPr>
        <w:t>Description of Work</w:t>
      </w:r>
    </w:p>
    <w:p w14:paraId="09A0496F" w14:textId="77777777" w:rsidR="0011466E" w:rsidRPr="00320161" w:rsidRDefault="0011466E" w:rsidP="0011466E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</w:p>
    <w:p w14:paraId="652DDCE5" w14:textId="77777777" w:rsidR="0011466E" w:rsidRPr="00320161" w:rsidRDefault="0011466E" w:rsidP="0011466E">
      <w:pPr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161">
        <w:rPr>
          <w:rFonts w:ascii="Arial" w:hAnsi="Arial" w:cs="Arial"/>
          <w:bCs/>
          <w:sz w:val="20"/>
          <w:szCs w:val="20"/>
        </w:rPr>
        <w:t>Qualifications, Exclusions, and Assumptions.</w:t>
      </w:r>
      <w:r w:rsidRPr="00320161">
        <w:rPr>
          <w:rFonts w:ascii="Arial" w:hAnsi="Arial" w:cs="Arial"/>
          <w:sz w:val="20"/>
          <w:szCs w:val="20"/>
        </w:rPr>
        <w:t xml:space="preserve">  A summary of all qualifications, exclusions, and assumptions incorporated into the GMP proposal, </w:t>
      </w:r>
      <w:r w:rsidRPr="008323DA">
        <w:rPr>
          <w:rFonts w:ascii="Arial" w:hAnsi="Arial" w:cs="Arial"/>
          <w:sz w:val="20"/>
          <w:szCs w:val="20"/>
          <w:u w:val="single"/>
        </w:rPr>
        <w:t>none of which shall conflict with the requirements of the General Terms &amp; Conditions, the Agreement for CM or D/B services, the Owner’s policies, or the construction/bid documents</w:t>
      </w:r>
      <w:r w:rsidRPr="00320161">
        <w:rPr>
          <w:rFonts w:ascii="Arial" w:hAnsi="Arial" w:cs="Arial"/>
          <w:sz w:val="20"/>
          <w:szCs w:val="20"/>
        </w:rPr>
        <w:t>.</w:t>
      </w:r>
    </w:p>
    <w:p w14:paraId="2B803886" w14:textId="77777777" w:rsidR="0011466E" w:rsidRPr="00320161" w:rsidRDefault="0011466E" w:rsidP="0011466E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</w:p>
    <w:p w14:paraId="710545C4" w14:textId="77777777" w:rsidR="0011466E" w:rsidRPr="00320161" w:rsidRDefault="0011466E" w:rsidP="0011466E">
      <w:pPr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161">
        <w:rPr>
          <w:rFonts w:ascii="Arial" w:hAnsi="Arial" w:cs="Arial"/>
          <w:sz w:val="20"/>
          <w:szCs w:val="20"/>
        </w:rPr>
        <w:t>Proposed Substitutions, Modifications, or Variances.</w:t>
      </w:r>
    </w:p>
    <w:p w14:paraId="72526F47" w14:textId="77777777" w:rsidR="0011466E" w:rsidRPr="00320161" w:rsidRDefault="0011466E" w:rsidP="0011466E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</w:p>
    <w:p w14:paraId="5F83F964" w14:textId="77777777" w:rsidR="0011466E" w:rsidRPr="00320161" w:rsidRDefault="0011466E" w:rsidP="0011466E">
      <w:pPr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161">
        <w:rPr>
          <w:rFonts w:ascii="Arial" w:hAnsi="Arial" w:cs="Arial"/>
          <w:bCs/>
          <w:sz w:val="20"/>
          <w:szCs w:val="20"/>
        </w:rPr>
        <w:t>Value Engineering Recommendations</w:t>
      </w:r>
      <w:r w:rsidRPr="00320161">
        <w:rPr>
          <w:rFonts w:ascii="Arial" w:hAnsi="Arial" w:cs="Arial"/>
          <w:sz w:val="20"/>
          <w:szCs w:val="20"/>
        </w:rPr>
        <w:t>.</w:t>
      </w:r>
    </w:p>
    <w:p w14:paraId="6503623E" w14:textId="77777777" w:rsidR="0011466E" w:rsidRPr="00320161" w:rsidRDefault="0011466E" w:rsidP="0011466E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</w:p>
    <w:p w14:paraId="4DDCDA76" w14:textId="77777777" w:rsidR="0011466E" w:rsidRPr="00320161" w:rsidRDefault="0011466E" w:rsidP="0011466E">
      <w:pPr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161">
        <w:rPr>
          <w:rFonts w:ascii="Arial" w:hAnsi="Arial" w:cs="Arial"/>
          <w:bCs/>
          <w:sz w:val="20"/>
          <w:szCs w:val="20"/>
        </w:rPr>
        <w:t>Schedule of Allowance</w:t>
      </w:r>
    </w:p>
    <w:p w14:paraId="2CB5B6F6" w14:textId="77777777" w:rsidR="0011466E" w:rsidRPr="00320161" w:rsidRDefault="0011466E" w:rsidP="0011466E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</w:p>
    <w:p w14:paraId="5238C9E4" w14:textId="77777777" w:rsidR="0011466E" w:rsidRPr="00320161" w:rsidRDefault="0011466E" w:rsidP="0011466E">
      <w:pPr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161">
        <w:rPr>
          <w:rFonts w:ascii="Arial" w:hAnsi="Arial" w:cs="Arial"/>
          <w:bCs/>
          <w:sz w:val="20"/>
          <w:szCs w:val="20"/>
        </w:rPr>
        <w:t>Additive/Deductive Alternates.</w:t>
      </w:r>
      <w:r w:rsidRPr="00320161">
        <w:rPr>
          <w:rFonts w:ascii="Arial" w:hAnsi="Arial" w:cs="Arial"/>
          <w:sz w:val="20"/>
          <w:szCs w:val="20"/>
        </w:rPr>
        <w:t xml:space="preserve">  A description of alternates with accompanying breakdown of cost/savings in the GMP format including critical dates for inclusion in GMP.</w:t>
      </w:r>
    </w:p>
    <w:p w14:paraId="67A61774" w14:textId="77777777" w:rsidR="0011466E" w:rsidRPr="00320161" w:rsidRDefault="0011466E" w:rsidP="0011466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9DE9EFF" w14:textId="77777777" w:rsidR="0011466E" w:rsidRPr="00320161" w:rsidRDefault="0011466E" w:rsidP="0011466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161">
        <w:rPr>
          <w:rFonts w:ascii="Arial" w:hAnsi="Arial" w:cs="Arial"/>
          <w:sz w:val="20"/>
          <w:szCs w:val="20"/>
        </w:rPr>
        <w:t>GMP Proposal</w:t>
      </w:r>
    </w:p>
    <w:p w14:paraId="1C867F05" w14:textId="77777777" w:rsidR="0011466E" w:rsidRPr="00320161" w:rsidRDefault="0011466E" w:rsidP="0011466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6EC3A93F" w14:textId="77777777" w:rsidR="0011466E" w:rsidRPr="00320161" w:rsidRDefault="0011466E" w:rsidP="0011466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161">
        <w:rPr>
          <w:rFonts w:ascii="Arial" w:hAnsi="Arial" w:cs="Arial"/>
          <w:sz w:val="20"/>
          <w:szCs w:val="20"/>
        </w:rPr>
        <w:t>Order of calculation.  Percentage-based items shall be calculated as prescribed in the Construction Authorization.</w:t>
      </w:r>
    </w:p>
    <w:p w14:paraId="6340CC32" w14:textId="77777777" w:rsidR="0011466E" w:rsidRPr="00320161" w:rsidRDefault="0011466E" w:rsidP="0011466E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</w:p>
    <w:p w14:paraId="47E6932C" w14:textId="77777777" w:rsidR="0011466E" w:rsidRPr="00320161" w:rsidRDefault="0011466E" w:rsidP="0011466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161">
        <w:rPr>
          <w:rFonts w:ascii="Arial" w:hAnsi="Arial" w:cs="Arial"/>
          <w:sz w:val="20"/>
          <w:szCs w:val="20"/>
        </w:rPr>
        <w:t>Major Elements of the GMP</w:t>
      </w:r>
    </w:p>
    <w:p w14:paraId="73A8E63C" w14:textId="77777777" w:rsidR="0011466E" w:rsidRPr="00320161" w:rsidRDefault="0011466E" w:rsidP="0011466E">
      <w:pPr>
        <w:autoSpaceDE w:val="0"/>
        <w:autoSpaceDN w:val="0"/>
        <w:adjustRightInd w:val="0"/>
        <w:ind w:left="1800"/>
        <w:jc w:val="both"/>
        <w:rPr>
          <w:rFonts w:ascii="Arial" w:hAnsi="Arial" w:cs="Arial"/>
          <w:sz w:val="20"/>
          <w:szCs w:val="20"/>
        </w:rPr>
      </w:pPr>
    </w:p>
    <w:p w14:paraId="3195712D" w14:textId="77777777" w:rsidR="0011466E" w:rsidRPr="00320161" w:rsidRDefault="0011466E" w:rsidP="0011466E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161">
        <w:rPr>
          <w:rFonts w:ascii="Arial" w:hAnsi="Arial" w:cs="Arial"/>
          <w:sz w:val="20"/>
          <w:szCs w:val="20"/>
        </w:rPr>
        <w:t>Cost of the Work, detailed by CSI division and/or subcontract/trade, including all quantities and unit prices.</w:t>
      </w:r>
    </w:p>
    <w:p w14:paraId="4D239C0C" w14:textId="77777777" w:rsidR="0011466E" w:rsidRPr="00320161" w:rsidRDefault="0011466E" w:rsidP="0011466E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161">
        <w:rPr>
          <w:rFonts w:ascii="Arial" w:hAnsi="Arial" w:cs="Arial"/>
          <w:sz w:val="20"/>
          <w:szCs w:val="20"/>
        </w:rPr>
        <w:t>Contingency, calculated as a fixed percentage of the Cost of the Work as agreed to in the contract.</w:t>
      </w:r>
    </w:p>
    <w:p w14:paraId="6A2643E3" w14:textId="45E71D64" w:rsidR="0011466E" w:rsidRPr="00320161" w:rsidRDefault="0011466E" w:rsidP="0011466E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161">
        <w:rPr>
          <w:rFonts w:ascii="Arial" w:hAnsi="Arial" w:cs="Arial"/>
          <w:sz w:val="20"/>
          <w:szCs w:val="20"/>
        </w:rPr>
        <w:t>Staffing Cost,</w:t>
      </w:r>
      <w:r w:rsidR="000A4F97">
        <w:rPr>
          <w:rFonts w:ascii="Arial" w:hAnsi="Arial" w:cs="Arial"/>
          <w:sz w:val="20"/>
          <w:szCs w:val="20"/>
        </w:rPr>
        <w:t xml:space="preserve"> as approved </w:t>
      </w:r>
      <w:r w:rsidR="008F077F">
        <w:rPr>
          <w:rFonts w:ascii="Arial" w:hAnsi="Arial" w:cs="Arial"/>
          <w:sz w:val="20"/>
          <w:szCs w:val="20"/>
        </w:rPr>
        <w:t>during contract negotiations,</w:t>
      </w:r>
      <w:r w:rsidRPr="00320161">
        <w:rPr>
          <w:rFonts w:ascii="Arial" w:hAnsi="Arial" w:cs="Arial"/>
          <w:sz w:val="20"/>
          <w:szCs w:val="20"/>
        </w:rPr>
        <w:t xml:space="preserve"> detailed by staff member and expense category and coded to the relevant paragraphs in the Agreement for CM or D/B services.  </w:t>
      </w:r>
      <w:r w:rsidR="001457B7">
        <w:rPr>
          <w:rFonts w:ascii="Arial" w:hAnsi="Arial" w:cs="Arial"/>
          <w:sz w:val="20"/>
          <w:szCs w:val="20"/>
        </w:rPr>
        <w:t xml:space="preserve">For the GMP, this includes </w:t>
      </w:r>
      <w:r w:rsidR="00FF0BA2">
        <w:rPr>
          <w:rFonts w:ascii="Arial" w:hAnsi="Arial" w:cs="Arial"/>
          <w:sz w:val="20"/>
          <w:szCs w:val="20"/>
        </w:rPr>
        <w:t>number of weeks and percentage</w:t>
      </w:r>
      <w:r w:rsidR="006A0391">
        <w:rPr>
          <w:rFonts w:ascii="Arial" w:hAnsi="Arial" w:cs="Arial"/>
          <w:sz w:val="20"/>
          <w:szCs w:val="20"/>
        </w:rPr>
        <w:t xml:space="preserve"> of construction duration</w:t>
      </w:r>
      <w:r w:rsidR="00FF0BA2">
        <w:rPr>
          <w:rFonts w:ascii="Arial" w:hAnsi="Arial" w:cs="Arial"/>
          <w:sz w:val="20"/>
          <w:szCs w:val="20"/>
        </w:rPr>
        <w:t xml:space="preserve"> each personnel would be involved </w:t>
      </w:r>
      <w:r w:rsidR="006A0391">
        <w:rPr>
          <w:rFonts w:ascii="Arial" w:hAnsi="Arial" w:cs="Arial"/>
          <w:sz w:val="20"/>
          <w:szCs w:val="20"/>
        </w:rPr>
        <w:t xml:space="preserve">in the project. </w:t>
      </w:r>
      <w:r w:rsidRPr="00320161">
        <w:rPr>
          <w:rFonts w:ascii="Arial" w:hAnsi="Arial" w:cs="Arial"/>
          <w:sz w:val="20"/>
          <w:szCs w:val="20"/>
        </w:rPr>
        <w:t>Also include a tabular summary of the UF-approved labor burden rates for each billable staff member</w:t>
      </w:r>
      <w:r w:rsidR="00BC2D86">
        <w:rPr>
          <w:rFonts w:ascii="Arial" w:hAnsi="Arial" w:cs="Arial"/>
          <w:sz w:val="20"/>
          <w:szCs w:val="20"/>
        </w:rPr>
        <w:t>. This rate would be forwarded only to</w:t>
      </w:r>
      <w:r w:rsidR="000A4F97">
        <w:rPr>
          <w:rFonts w:ascii="Arial" w:hAnsi="Arial" w:cs="Arial"/>
          <w:sz w:val="20"/>
          <w:szCs w:val="20"/>
        </w:rPr>
        <w:t xml:space="preserve"> Associate Director of Finance for </w:t>
      </w:r>
      <w:r w:rsidR="00BC2D86">
        <w:rPr>
          <w:rFonts w:ascii="Arial" w:hAnsi="Arial" w:cs="Arial"/>
          <w:sz w:val="20"/>
          <w:szCs w:val="20"/>
        </w:rPr>
        <w:t xml:space="preserve">audit </w:t>
      </w:r>
      <w:r w:rsidR="000A4F97">
        <w:rPr>
          <w:rFonts w:ascii="Arial" w:hAnsi="Arial" w:cs="Arial"/>
          <w:sz w:val="20"/>
          <w:szCs w:val="20"/>
        </w:rPr>
        <w:t>confirmation</w:t>
      </w:r>
      <w:r w:rsidRPr="00320161">
        <w:rPr>
          <w:rFonts w:ascii="Arial" w:hAnsi="Arial" w:cs="Arial"/>
          <w:sz w:val="20"/>
          <w:szCs w:val="20"/>
        </w:rPr>
        <w:t>.</w:t>
      </w:r>
      <w:r w:rsidR="00077BD6">
        <w:rPr>
          <w:rFonts w:ascii="Arial" w:hAnsi="Arial" w:cs="Arial"/>
          <w:sz w:val="20"/>
          <w:szCs w:val="20"/>
        </w:rPr>
        <w:t xml:space="preserve"> </w:t>
      </w:r>
    </w:p>
    <w:p w14:paraId="590738E6" w14:textId="04A813B1" w:rsidR="0011466E" w:rsidRPr="00320161" w:rsidRDefault="0011466E" w:rsidP="0011466E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161">
        <w:rPr>
          <w:rFonts w:ascii="Arial" w:hAnsi="Arial" w:cs="Arial"/>
          <w:sz w:val="20"/>
          <w:szCs w:val="20"/>
        </w:rPr>
        <w:t>General Conditions Costs</w:t>
      </w:r>
      <w:r w:rsidR="00BC533A">
        <w:rPr>
          <w:rFonts w:ascii="Arial" w:hAnsi="Arial" w:cs="Arial"/>
          <w:sz w:val="20"/>
          <w:szCs w:val="20"/>
        </w:rPr>
        <w:t xml:space="preserve">, as approved during the contract negotiations, </w:t>
      </w:r>
      <w:r w:rsidRPr="00320161">
        <w:rPr>
          <w:rFonts w:ascii="Arial" w:hAnsi="Arial" w:cs="Arial"/>
          <w:sz w:val="20"/>
          <w:szCs w:val="20"/>
        </w:rPr>
        <w:t>including bonds &amp; insurance – detailed by expense category and coded to the relevant paragraphs in the Agreement for CM or D/B services.</w:t>
      </w:r>
    </w:p>
    <w:p w14:paraId="051EBCCE" w14:textId="4427A267" w:rsidR="0011466E" w:rsidRPr="00320161" w:rsidRDefault="0011466E" w:rsidP="0011466E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161">
        <w:rPr>
          <w:rFonts w:ascii="Arial" w:hAnsi="Arial" w:cs="Arial"/>
          <w:sz w:val="20"/>
          <w:szCs w:val="20"/>
        </w:rPr>
        <w:t xml:space="preserve">Overhead &amp; Profit, </w:t>
      </w:r>
      <w:r w:rsidR="00BC533A">
        <w:rPr>
          <w:rFonts w:ascii="Arial" w:hAnsi="Arial" w:cs="Arial"/>
          <w:sz w:val="20"/>
          <w:szCs w:val="20"/>
        </w:rPr>
        <w:t xml:space="preserve">as approved </w:t>
      </w:r>
      <w:r w:rsidR="009864D0">
        <w:rPr>
          <w:rFonts w:ascii="Arial" w:hAnsi="Arial" w:cs="Arial"/>
          <w:sz w:val="20"/>
          <w:szCs w:val="20"/>
        </w:rPr>
        <w:t xml:space="preserve">during contract negotiations, </w:t>
      </w:r>
      <w:r w:rsidRPr="00320161">
        <w:rPr>
          <w:rFonts w:ascii="Arial" w:hAnsi="Arial" w:cs="Arial"/>
          <w:sz w:val="20"/>
          <w:szCs w:val="20"/>
        </w:rPr>
        <w:t xml:space="preserve">calculated as a fixed percentage of the (4) items listed above </w:t>
      </w:r>
      <w:r w:rsidRPr="009864D0">
        <w:rPr>
          <w:rFonts w:ascii="Arial" w:hAnsi="Arial" w:cs="Arial"/>
          <w:sz w:val="20"/>
          <w:szCs w:val="20"/>
          <w:u w:val="single"/>
        </w:rPr>
        <w:t>excluding</w:t>
      </w:r>
      <w:r w:rsidRPr="00320161">
        <w:rPr>
          <w:rFonts w:ascii="Arial" w:hAnsi="Arial" w:cs="Arial"/>
          <w:sz w:val="20"/>
          <w:szCs w:val="20"/>
        </w:rPr>
        <w:t xml:space="preserve"> bonds</w:t>
      </w:r>
      <w:r w:rsidR="00B209C2">
        <w:rPr>
          <w:rFonts w:ascii="Arial" w:hAnsi="Arial" w:cs="Arial"/>
          <w:sz w:val="20"/>
          <w:szCs w:val="20"/>
        </w:rPr>
        <w:t>,</w:t>
      </w:r>
      <w:r w:rsidRPr="00320161">
        <w:rPr>
          <w:rFonts w:ascii="Arial" w:hAnsi="Arial" w:cs="Arial"/>
          <w:sz w:val="20"/>
          <w:szCs w:val="20"/>
        </w:rPr>
        <w:t xml:space="preserve"> insurance</w:t>
      </w:r>
      <w:r w:rsidR="00B209C2">
        <w:rPr>
          <w:rFonts w:ascii="Arial" w:hAnsi="Arial" w:cs="Arial"/>
          <w:sz w:val="20"/>
          <w:szCs w:val="20"/>
        </w:rPr>
        <w:t xml:space="preserve"> &amp; permit fees.</w:t>
      </w:r>
    </w:p>
    <w:p w14:paraId="073DD7DF" w14:textId="77777777" w:rsidR="0011466E" w:rsidRPr="00320161" w:rsidRDefault="0011466E" w:rsidP="00320161">
      <w:pPr>
        <w:autoSpaceDE w:val="0"/>
        <w:autoSpaceDN w:val="0"/>
        <w:adjustRightInd w:val="0"/>
        <w:ind w:left="1800"/>
        <w:jc w:val="both"/>
        <w:rPr>
          <w:rFonts w:ascii="Arial" w:hAnsi="Arial" w:cs="Arial"/>
          <w:sz w:val="20"/>
          <w:szCs w:val="20"/>
        </w:rPr>
      </w:pPr>
    </w:p>
    <w:p w14:paraId="2A75C7B1" w14:textId="5509509E" w:rsidR="00857772" w:rsidRPr="00320161" w:rsidRDefault="00857772" w:rsidP="0032016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161">
        <w:rPr>
          <w:rFonts w:ascii="Arial" w:hAnsi="Arial" w:cs="Arial"/>
          <w:sz w:val="20"/>
          <w:szCs w:val="20"/>
        </w:rPr>
        <w:t xml:space="preserve">Schedule of Values.  </w:t>
      </w:r>
      <w:r w:rsidR="00D057E4" w:rsidRPr="00320161">
        <w:rPr>
          <w:rFonts w:ascii="Arial" w:hAnsi="Arial" w:cs="Arial"/>
          <w:sz w:val="20"/>
          <w:szCs w:val="20"/>
        </w:rPr>
        <w:t>Also provide a draft</w:t>
      </w:r>
      <w:r w:rsidRPr="00320161">
        <w:rPr>
          <w:rFonts w:ascii="Arial" w:hAnsi="Arial" w:cs="Arial"/>
          <w:sz w:val="20"/>
          <w:szCs w:val="20"/>
        </w:rPr>
        <w:t xml:space="preserve"> </w:t>
      </w:r>
      <w:r w:rsidR="00F01DA0" w:rsidRPr="00320161">
        <w:rPr>
          <w:rFonts w:ascii="Arial" w:hAnsi="Arial" w:cs="Arial"/>
          <w:sz w:val="20"/>
          <w:szCs w:val="20"/>
        </w:rPr>
        <w:t>Schedule of Values</w:t>
      </w:r>
      <w:r w:rsidR="00DA7247" w:rsidRPr="00320161">
        <w:rPr>
          <w:rFonts w:ascii="Arial" w:hAnsi="Arial" w:cs="Arial"/>
          <w:sz w:val="20"/>
          <w:szCs w:val="20"/>
        </w:rPr>
        <w:t xml:space="preserve">, organized </w:t>
      </w:r>
      <w:r w:rsidR="00086FA8" w:rsidRPr="00320161">
        <w:rPr>
          <w:rFonts w:ascii="Arial" w:hAnsi="Arial" w:cs="Arial"/>
          <w:sz w:val="20"/>
          <w:szCs w:val="20"/>
        </w:rPr>
        <w:t>by</w:t>
      </w:r>
      <w:r w:rsidR="00DA7247" w:rsidRPr="00320161">
        <w:rPr>
          <w:rFonts w:ascii="Arial" w:hAnsi="Arial" w:cs="Arial"/>
          <w:sz w:val="20"/>
          <w:szCs w:val="20"/>
        </w:rPr>
        <w:t xml:space="preserve"> anticipated bid packages</w:t>
      </w:r>
      <w:r w:rsidR="00D057E4" w:rsidRPr="00320161">
        <w:rPr>
          <w:rFonts w:ascii="Arial" w:hAnsi="Arial" w:cs="Arial"/>
          <w:sz w:val="20"/>
          <w:szCs w:val="20"/>
        </w:rPr>
        <w:t xml:space="preserve"> and including</w:t>
      </w:r>
      <w:r w:rsidR="00DA7247" w:rsidRPr="00320161">
        <w:rPr>
          <w:rFonts w:ascii="Arial" w:hAnsi="Arial" w:cs="Arial"/>
          <w:sz w:val="20"/>
          <w:szCs w:val="20"/>
        </w:rPr>
        <w:t xml:space="preserve"> quantities, unit prices, and cost extensions</w:t>
      </w:r>
      <w:r w:rsidR="00F01DA0" w:rsidRPr="00320161">
        <w:rPr>
          <w:rFonts w:ascii="Arial" w:hAnsi="Arial" w:cs="Arial"/>
          <w:sz w:val="20"/>
          <w:szCs w:val="20"/>
        </w:rPr>
        <w:t>.</w:t>
      </w:r>
      <w:r w:rsidR="00825934" w:rsidRPr="00320161">
        <w:rPr>
          <w:rFonts w:ascii="Arial" w:hAnsi="Arial" w:cs="Arial"/>
          <w:sz w:val="20"/>
          <w:szCs w:val="20"/>
        </w:rPr>
        <w:t xml:space="preserve">  </w:t>
      </w:r>
      <w:r w:rsidR="00284449" w:rsidRPr="00320161">
        <w:rPr>
          <w:rFonts w:ascii="Arial" w:hAnsi="Arial" w:cs="Arial"/>
          <w:sz w:val="20"/>
          <w:szCs w:val="20"/>
        </w:rPr>
        <w:t>In addition, p</w:t>
      </w:r>
      <w:r w:rsidR="00915996" w:rsidRPr="00320161">
        <w:rPr>
          <w:rFonts w:ascii="Arial" w:hAnsi="Arial" w:cs="Arial"/>
          <w:sz w:val="20"/>
          <w:szCs w:val="20"/>
        </w:rPr>
        <w:t>rovide a</w:t>
      </w:r>
      <w:r w:rsidR="00C4339B" w:rsidRPr="00320161">
        <w:rPr>
          <w:rFonts w:ascii="Arial" w:hAnsi="Arial" w:cs="Arial"/>
          <w:sz w:val="20"/>
          <w:szCs w:val="20"/>
        </w:rPr>
        <w:t xml:space="preserve"> </w:t>
      </w:r>
      <w:r w:rsidR="00825934" w:rsidRPr="00320161">
        <w:rPr>
          <w:rFonts w:ascii="Arial" w:hAnsi="Arial" w:cs="Arial"/>
          <w:sz w:val="20"/>
          <w:szCs w:val="20"/>
        </w:rPr>
        <w:t>reconciliation to</w:t>
      </w:r>
      <w:r w:rsidR="00915996" w:rsidRPr="00320161">
        <w:rPr>
          <w:rFonts w:ascii="Arial" w:hAnsi="Arial" w:cs="Arial"/>
          <w:sz w:val="20"/>
          <w:szCs w:val="20"/>
        </w:rPr>
        <w:t>/with the GMP and</w:t>
      </w:r>
      <w:r w:rsidR="00825934" w:rsidRPr="00320161">
        <w:rPr>
          <w:rFonts w:ascii="Arial" w:hAnsi="Arial" w:cs="Arial"/>
          <w:sz w:val="20"/>
          <w:szCs w:val="20"/>
        </w:rPr>
        <w:t xml:space="preserve"> previous estimates</w:t>
      </w:r>
      <w:r w:rsidR="00284449" w:rsidRPr="00320161">
        <w:rPr>
          <w:rFonts w:ascii="Arial" w:hAnsi="Arial" w:cs="Arial"/>
          <w:sz w:val="20"/>
          <w:szCs w:val="20"/>
        </w:rPr>
        <w:t>,</w:t>
      </w:r>
      <w:r w:rsidR="00825934" w:rsidRPr="00320161">
        <w:rPr>
          <w:rFonts w:ascii="Arial" w:hAnsi="Arial" w:cs="Arial"/>
          <w:sz w:val="20"/>
          <w:szCs w:val="20"/>
        </w:rPr>
        <w:t xml:space="preserve"> if </w:t>
      </w:r>
      <w:r w:rsidR="00915996" w:rsidRPr="00320161">
        <w:rPr>
          <w:rFonts w:ascii="Arial" w:hAnsi="Arial" w:cs="Arial"/>
          <w:sz w:val="20"/>
          <w:szCs w:val="20"/>
        </w:rPr>
        <w:t>those proposals or estimates were organized or broken down differently</w:t>
      </w:r>
      <w:r w:rsidR="00825934" w:rsidRPr="00320161">
        <w:rPr>
          <w:rFonts w:ascii="Arial" w:hAnsi="Arial" w:cs="Arial"/>
          <w:sz w:val="20"/>
          <w:szCs w:val="20"/>
        </w:rPr>
        <w:t>.</w:t>
      </w:r>
    </w:p>
    <w:p w14:paraId="2A75C7B2" w14:textId="77777777" w:rsidR="00A7539B" w:rsidRPr="00320161" w:rsidRDefault="00A7539B" w:rsidP="0032016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2A75C7B3" w14:textId="67839A31" w:rsidR="00857772" w:rsidRPr="00320161" w:rsidRDefault="00086FA8" w:rsidP="0032016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161">
        <w:rPr>
          <w:rFonts w:ascii="Arial" w:hAnsi="Arial" w:cs="Arial"/>
          <w:sz w:val="20"/>
          <w:szCs w:val="20"/>
        </w:rPr>
        <w:t xml:space="preserve">Detailed </w:t>
      </w:r>
      <w:r w:rsidR="004859A7" w:rsidRPr="00320161">
        <w:rPr>
          <w:rFonts w:ascii="Arial" w:hAnsi="Arial" w:cs="Arial"/>
          <w:sz w:val="20"/>
          <w:szCs w:val="20"/>
        </w:rPr>
        <w:t>Construction</w:t>
      </w:r>
      <w:r w:rsidR="00857772" w:rsidRPr="00320161">
        <w:rPr>
          <w:rFonts w:ascii="Arial" w:hAnsi="Arial" w:cs="Arial"/>
          <w:sz w:val="20"/>
          <w:szCs w:val="20"/>
        </w:rPr>
        <w:t xml:space="preserve"> Schedule</w:t>
      </w:r>
    </w:p>
    <w:p w14:paraId="02967B35" w14:textId="77777777" w:rsidR="0011466E" w:rsidRPr="00320161" w:rsidRDefault="0011466E" w:rsidP="0032016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2A75C7B4" w14:textId="3EBF3A45" w:rsidR="00825934" w:rsidRPr="00320161" w:rsidRDefault="00825934" w:rsidP="0032016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161">
        <w:rPr>
          <w:rFonts w:ascii="Arial" w:hAnsi="Arial" w:cs="Arial"/>
          <w:sz w:val="20"/>
          <w:szCs w:val="20"/>
        </w:rPr>
        <w:t>Bidding Phase Outline</w:t>
      </w:r>
    </w:p>
    <w:p w14:paraId="6DE52B4D" w14:textId="77777777" w:rsidR="0011466E" w:rsidRPr="00320161" w:rsidRDefault="0011466E" w:rsidP="00320161">
      <w:pPr>
        <w:pStyle w:val="ListParagraph"/>
        <w:rPr>
          <w:rFonts w:ascii="Arial" w:hAnsi="Arial" w:cs="Arial"/>
          <w:sz w:val="20"/>
          <w:szCs w:val="20"/>
        </w:rPr>
      </w:pPr>
    </w:p>
    <w:p w14:paraId="2A75C7B5" w14:textId="492B3531" w:rsidR="00825934" w:rsidRPr="00320161" w:rsidRDefault="00825934" w:rsidP="00320161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161">
        <w:rPr>
          <w:rFonts w:ascii="Arial" w:hAnsi="Arial" w:cs="Arial"/>
          <w:sz w:val="20"/>
          <w:szCs w:val="20"/>
        </w:rPr>
        <w:t>List and description of bid packages</w:t>
      </w:r>
    </w:p>
    <w:p w14:paraId="22B7DCAC" w14:textId="77777777" w:rsidR="0011466E" w:rsidRPr="00320161" w:rsidRDefault="0011466E" w:rsidP="00320161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</w:p>
    <w:p w14:paraId="2A75C7B6" w14:textId="19A4879F" w:rsidR="00825934" w:rsidRPr="00320161" w:rsidRDefault="00825934" w:rsidP="00320161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161">
        <w:rPr>
          <w:rFonts w:ascii="Arial" w:hAnsi="Arial" w:cs="Arial"/>
          <w:sz w:val="20"/>
          <w:szCs w:val="20"/>
        </w:rPr>
        <w:t>Bidding and award schedule</w:t>
      </w:r>
    </w:p>
    <w:p w14:paraId="0299678A" w14:textId="77777777" w:rsidR="0011466E" w:rsidRPr="00320161" w:rsidRDefault="0011466E" w:rsidP="00320161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</w:p>
    <w:p w14:paraId="2A75C7B8" w14:textId="5C51B316" w:rsidR="00825934" w:rsidRPr="00320161" w:rsidRDefault="00825934" w:rsidP="00320161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161">
        <w:rPr>
          <w:rFonts w:ascii="Arial" w:hAnsi="Arial" w:cs="Arial"/>
          <w:sz w:val="20"/>
          <w:szCs w:val="20"/>
        </w:rPr>
        <w:t>Draft bid tabulation summary</w:t>
      </w:r>
    </w:p>
    <w:p w14:paraId="5225BD53" w14:textId="77777777" w:rsidR="0011466E" w:rsidRPr="00320161" w:rsidRDefault="0011466E" w:rsidP="0032016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A75C7B9" w14:textId="77777777" w:rsidR="00086FA8" w:rsidRPr="00320161" w:rsidRDefault="00086FA8" w:rsidP="0032016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161">
        <w:rPr>
          <w:rFonts w:ascii="Arial" w:hAnsi="Arial" w:cs="Arial"/>
          <w:sz w:val="20"/>
          <w:szCs w:val="20"/>
        </w:rPr>
        <w:t>Jobsite management/logistics plan</w:t>
      </w:r>
    </w:p>
    <w:p w14:paraId="0CDCE8BB" w14:textId="77777777" w:rsidR="0011466E" w:rsidRPr="00320161" w:rsidRDefault="0011466E" w:rsidP="0032016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2A75C7BA" w14:textId="4D5CFEFE" w:rsidR="00857772" w:rsidRDefault="00857772" w:rsidP="0032016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161">
        <w:rPr>
          <w:rFonts w:ascii="Arial" w:hAnsi="Arial" w:cs="Arial"/>
          <w:sz w:val="20"/>
          <w:szCs w:val="20"/>
        </w:rPr>
        <w:t>Other</w:t>
      </w:r>
      <w:r w:rsidR="00975F3A" w:rsidRPr="00320161">
        <w:rPr>
          <w:rFonts w:ascii="Arial" w:hAnsi="Arial" w:cs="Arial"/>
          <w:sz w:val="20"/>
          <w:szCs w:val="20"/>
        </w:rPr>
        <w:t xml:space="preserve"> information as needed</w:t>
      </w:r>
    </w:p>
    <w:p w14:paraId="74960607" w14:textId="77777777" w:rsidR="000D0081" w:rsidRDefault="000D0081" w:rsidP="000D0081">
      <w:pPr>
        <w:pStyle w:val="ListParagraph"/>
        <w:rPr>
          <w:rFonts w:ascii="Arial" w:hAnsi="Arial" w:cs="Arial"/>
          <w:sz w:val="20"/>
          <w:szCs w:val="20"/>
        </w:rPr>
      </w:pPr>
    </w:p>
    <w:p w14:paraId="2A75C7BC" w14:textId="668C25F9" w:rsidR="00086FA8" w:rsidRPr="00320161" w:rsidRDefault="004D2CD9" w:rsidP="004D2C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161">
        <w:rPr>
          <w:rFonts w:ascii="Arial" w:hAnsi="Arial" w:cs="Arial"/>
          <w:sz w:val="20"/>
          <w:szCs w:val="20"/>
        </w:rPr>
        <w:t>P</w:t>
      </w:r>
      <w:r w:rsidR="00086FA8" w:rsidRPr="00320161">
        <w:rPr>
          <w:rFonts w:ascii="Arial" w:hAnsi="Arial" w:cs="Arial"/>
          <w:sz w:val="20"/>
          <w:szCs w:val="20"/>
        </w:rPr>
        <w:t xml:space="preserve">rovide an electronic copy (searchable PDF) via e-mail or the project’s </w:t>
      </w:r>
      <w:r w:rsidR="001D6A82">
        <w:rPr>
          <w:rFonts w:ascii="Arial" w:hAnsi="Arial" w:cs="Arial"/>
          <w:sz w:val="20"/>
          <w:szCs w:val="20"/>
        </w:rPr>
        <w:t>BIM360</w:t>
      </w:r>
      <w:r w:rsidR="005A23EF">
        <w:rPr>
          <w:rFonts w:ascii="Arial" w:hAnsi="Arial" w:cs="Arial"/>
          <w:sz w:val="20"/>
          <w:szCs w:val="20"/>
        </w:rPr>
        <w:t xml:space="preserve"> folder.</w:t>
      </w:r>
    </w:p>
    <w:p w14:paraId="2A75C7BD" w14:textId="77777777" w:rsidR="00A7539B" w:rsidRPr="00320161" w:rsidRDefault="00A7539B" w:rsidP="004D2C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A75C7BE" w14:textId="77777777" w:rsidR="00A7539B" w:rsidRPr="00320161" w:rsidRDefault="00A7539B" w:rsidP="004D2C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161">
        <w:rPr>
          <w:rFonts w:ascii="Arial" w:hAnsi="Arial" w:cs="Arial"/>
          <w:sz w:val="20"/>
          <w:szCs w:val="20"/>
        </w:rPr>
        <w:lastRenderedPageBreak/>
        <w:t>For second, third, or subsequent GMP proposals, assume the scopes and prices will be additive (cumulative) and account in the new GMP proposal for bid/tax savings and CM or D/B contingency already accrued or expended under prior Authorizations.</w:t>
      </w:r>
    </w:p>
    <w:p w14:paraId="2A75C7BF" w14:textId="77777777" w:rsidR="00A7539B" w:rsidRPr="00320161" w:rsidRDefault="00A7539B" w:rsidP="004D2C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A75C7C0" w14:textId="3E925669" w:rsidR="00A7539B" w:rsidRPr="00320161" w:rsidRDefault="00A7539B" w:rsidP="004D2C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161">
        <w:rPr>
          <w:rFonts w:ascii="Arial" w:hAnsi="Arial" w:cs="Arial"/>
          <w:sz w:val="20"/>
          <w:szCs w:val="20"/>
        </w:rPr>
        <w:t>Verbal/informal agreement on the GMP proposal does not constitute a Notice To Proceed</w:t>
      </w:r>
      <w:r w:rsidR="00D939D7" w:rsidRPr="00320161">
        <w:rPr>
          <w:rFonts w:ascii="Arial" w:hAnsi="Arial" w:cs="Arial"/>
          <w:sz w:val="20"/>
          <w:szCs w:val="20"/>
        </w:rPr>
        <w:t xml:space="preserve"> (NTP).  A formal NTP will be issued by the </w:t>
      </w:r>
      <w:r w:rsidR="00284449" w:rsidRPr="00320161">
        <w:rPr>
          <w:rFonts w:ascii="Arial" w:hAnsi="Arial" w:cs="Arial"/>
          <w:sz w:val="20"/>
          <w:szCs w:val="20"/>
        </w:rPr>
        <w:t>Owner</w:t>
      </w:r>
      <w:r w:rsidR="00D939D7" w:rsidRPr="00320161">
        <w:rPr>
          <w:rFonts w:ascii="Arial" w:hAnsi="Arial" w:cs="Arial"/>
          <w:sz w:val="20"/>
          <w:szCs w:val="20"/>
        </w:rPr>
        <w:t xml:space="preserve">, along with an executed </w:t>
      </w:r>
      <w:r w:rsidR="004D2CD9" w:rsidRPr="00320161">
        <w:rPr>
          <w:rFonts w:ascii="Arial" w:hAnsi="Arial" w:cs="Arial"/>
          <w:sz w:val="20"/>
          <w:szCs w:val="20"/>
        </w:rPr>
        <w:t xml:space="preserve">Construction </w:t>
      </w:r>
      <w:r w:rsidR="00D939D7" w:rsidRPr="00320161">
        <w:rPr>
          <w:rFonts w:ascii="Arial" w:hAnsi="Arial" w:cs="Arial"/>
          <w:sz w:val="20"/>
          <w:szCs w:val="20"/>
        </w:rPr>
        <w:t xml:space="preserve">Authorization that itemizes primary elements of the GMP and establishes the dates for Substantial and Final (and/or </w:t>
      </w:r>
      <w:proofErr w:type="spellStart"/>
      <w:r w:rsidR="00D939D7" w:rsidRPr="00320161">
        <w:rPr>
          <w:rFonts w:ascii="Arial" w:hAnsi="Arial" w:cs="Arial"/>
          <w:sz w:val="20"/>
          <w:szCs w:val="20"/>
        </w:rPr>
        <w:t>punchlist</w:t>
      </w:r>
      <w:proofErr w:type="spellEnd"/>
      <w:r w:rsidR="00D939D7" w:rsidRPr="00320161">
        <w:rPr>
          <w:rFonts w:ascii="Arial" w:hAnsi="Arial" w:cs="Arial"/>
          <w:sz w:val="20"/>
          <w:szCs w:val="20"/>
        </w:rPr>
        <w:t>) Completion</w:t>
      </w:r>
      <w:r w:rsidR="002C41CB">
        <w:rPr>
          <w:rFonts w:ascii="Arial" w:hAnsi="Arial" w:cs="Arial"/>
          <w:sz w:val="20"/>
          <w:szCs w:val="20"/>
        </w:rPr>
        <w:t xml:space="preserve"> and a purchase order.</w:t>
      </w:r>
    </w:p>
    <w:sectPr w:rsidR="00A7539B" w:rsidRPr="003201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5C7C3" w14:textId="77777777" w:rsidR="00387B05" w:rsidRDefault="00387B05">
      <w:r>
        <w:separator/>
      </w:r>
    </w:p>
  </w:endnote>
  <w:endnote w:type="continuationSeparator" w:id="0">
    <w:p w14:paraId="2A75C7C4" w14:textId="77777777" w:rsidR="00387B05" w:rsidRDefault="0038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C017" w14:textId="77777777" w:rsidR="005E61F4" w:rsidRDefault="005E6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C7C6" w14:textId="231BB01E" w:rsidR="004A7979" w:rsidRPr="00320161" w:rsidRDefault="00CC26C7">
    <w:pPr>
      <w:pStyle w:val="Footer"/>
      <w:tabs>
        <w:tab w:val="clear" w:pos="4320"/>
        <w:tab w:val="clear" w:pos="8640"/>
        <w:tab w:val="right" w:pos="10080"/>
      </w:tabs>
      <w:ind w:left="-720"/>
      <w:jc w:val="center"/>
      <w:rPr>
        <w:rFonts w:ascii="Book Antiqua" w:hAnsi="Book Antiqua" w:cs="Arial"/>
        <w:smallCaps/>
        <w:sz w:val="16"/>
        <w:szCs w:val="20"/>
      </w:rPr>
    </w:pPr>
    <w:r w:rsidRPr="00320161">
      <w:rPr>
        <w:rFonts w:ascii="Book Antiqua" w:hAnsi="Book Antiqua" w:cs="Arial"/>
        <w:smallCaps/>
        <w:sz w:val="16"/>
        <w:szCs w:val="20"/>
      </w:rPr>
      <w:t>P</w:t>
    </w:r>
    <w:r>
      <w:rPr>
        <w:rFonts w:ascii="Book Antiqua" w:hAnsi="Book Antiqua" w:cs="Arial"/>
        <w:smallCaps/>
        <w:sz w:val="16"/>
        <w:szCs w:val="20"/>
      </w:rPr>
      <w:t>D</w:t>
    </w:r>
    <w:r w:rsidRPr="00320161">
      <w:rPr>
        <w:rFonts w:ascii="Book Antiqua" w:hAnsi="Book Antiqua" w:cs="Arial"/>
        <w:smallCaps/>
        <w:sz w:val="16"/>
        <w:szCs w:val="20"/>
      </w:rPr>
      <w:t>C</w:t>
    </w:r>
    <w:r w:rsidR="005A23EF">
      <w:rPr>
        <w:rFonts w:ascii="Book Antiqua" w:hAnsi="Book Antiqua" w:cs="Arial"/>
        <w:smallCaps/>
        <w:sz w:val="16"/>
        <w:szCs w:val="20"/>
      </w:rPr>
      <w:t>- REVISED</w:t>
    </w:r>
    <w:r w:rsidRPr="00320161">
      <w:rPr>
        <w:rFonts w:ascii="Book Antiqua" w:hAnsi="Book Antiqua" w:cs="Arial"/>
        <w:smallCaps/>
        <w:sz w:val="16"/>
        <w:szCs w:val="20"/>
      </w:rPr>
      <w:t xml:space="preserve"> </w:t>
    </w:r>
    <w:r w:rsidR="005A23EF">
      <w:rPr>
        <w:rFonts w:ascii="Book Antiqua" w:hAnsi="Book Antiqua" w:cs="Arial"/>
        <w:smallCaps/>
        <w:sz w:val="16"/>
        <w:szCs w:val="20"/>
      </w:rPr>
      <w:t>February 2022</w:t>
    </w:r>
    <w:r w:rsidR="004A7979" w:rsidRPr="00320161">
      <w:rPr>
        <w:rFonts w:ascii="Book Antiqua" w:hAnsi="Book Antiqua" w:cs="Arial"/>
        <w:smallCaps/>
        <w:sz w:val="16"/>
        <w:szCs w:val="20"/>
      </w:rPr>
      <w:tab/>
      <w:t xml:space="preserve">Page </w:t>
    </w:r>
    <w:r w:rsidR="004A7979" w:rsidRPr="00320161">
      <w:rPr>
        <w:rStyle w:val="PageNumber"/>
        <w:rFonts w:ascii="Book Antiqua" w:hAnsi="Book Antiqua"/>
        <w:smallCaps/>
        <w:sz w:val="16"/>
      </w:rPr>
      <w:fldChar w:fldCharType="begin"/>
    </w:r>
    <w:r w:rsidR="004A7979" w:rsidRPr="00320161">
      <w:rPr>
        <w:rStyle w:val="PageNumber"/>
        <w:rFonts w:ascii="Book Antiqua" w:hAnsi="Book Antiqua"/>
        <w:smallCaps/>
        <w:sz w:val="16"/>
      </w:rPr>
      <w:instrText xml:space="preserve"> PAGE </w:instrText>
    </w:r>
    <w:r w:rsidR="004A7979" w:rsidRPr="00320161">
      <w:rPr>
        <w:rStyle w:val="PageNumber"/>
        <w:rFonts w:ascii="Book Antiqua" w:hAnsi="Book Antiqua"/>
        <w:smallCaps/>
        <w:sz w:val="16"/>
      </w:rPr>
      <w:fldChar w:fldCharType="separate"/>
    </w:r>
    <w:r w:rsidR="00320161">
      <w:rPr>
        <w:rStyle w:val="PageNumber"/>
        <w:rFonts w:ascii="Book Antiqua" w:hAnsi="Book Antiqua"/>
        <w:smallCaps/>
        <w:noProof/>
        <w:sz w:val="16"/>
      </w:rPr>
      <w:t>2</w:t>
    </w:r>
    <w:r w:rsidR="004A7979" w:rsidRPr="00320161">
      <w:rPr>
        <w:rStyle w:val="PageNumber"/>
        <w:rFonts w:ascii="Book Antiqua" w:hAnsi="Book Antiqua"/>
        <w:smallCaps/>
        <w:sz w:val="16"/>
      </w:rPr>
      <w:fldChar w:fldCharType="end"/>
    </w:r>
    <w:r w:rsidR="004A7979" w:rsidRPr="00320161">
      <w:rPr>
        <w:rStyle w:val="PageNumber"/>
        <w:rFonts w:ascii="Book Antiqua" w:hAnsi="Book Antiqua"/>
        <w:smallCaps/>
        <w:sz w:val="16"/>
      </w:rPr>
      <w:t xml:space="preserve"> of </w:t>
    </w:r>
    <w:r w:rsidR="004A7979" w:rsidRPr="00320161">
      <w:rPr>
        <w:rStyle w:val="PageNumber"/>
        <w:rFonts w:ascii="Book Antiqua" w:hAnsi="Book Antiqua"/>
        <w:smallCaps/>
        <w:sz w:val="16"/>
      </w:rPr>
      <w:fldChar w:fldCharType="begin"/>
    </w:r>
    <w:r w:rsidR="004A7979" w:rsidRPr="00320161">
      <w:rPr>
        <w:rStyle w:val="PageNumber"/>
        <w:rFonts w:ascii="Book Antiqua" w:hAnsi="Book Antiqua"/>
        <w:smallCaps/>
        <w:sz w:val="16"/>
      </w:rPr>
      <w:instrText xml:space="preserve"> NUMPAGES </w:instrText>
    </w:r>
    <w:r w:rsidR="004A7979" w:rsidRPr="00320161">
      <w:rPr>
        <w:rStyle w:val="PageNumber"/>
        <w:rFonts w:ascii="Book Antiqua" w:hAnsi="Book Antiqua"/>
        <w:smallCaps/>
        <w:sz w:val="16"/>
      </w:rPr>
      <w:fldChar w:fldCharType="separate"/>
    </w:r>
    <w:r w:rsidR="00320161">
      <w:rPr>
        <w:rStyle w:val="PageNumber"/>
        <w:rFonts w:ascii="Book Antiqua" w:hAnsi="Book Antiqua"/>
        <w:smallCaps/>
        <w:noProof/>
        <w:sz w:val="16"/>
      </w:rPr>
      <w:t>2</w:t>
    </w:r>
    <w:r w:rsidR="004A7979" w:rsidRPr="00320161">
      <w:rPr>
        <w:rStyle w:val="PageNumber"/>
        <w:rFonts w:ascii="Book Antiqua" w:hAnsi="Book Antiqua"/>
        <w:smallCap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C7CA" w14:textId="3680FF46" w:rsidR="004A7979" w:rsidRPr="00320161" w:rsidRDefault="0011466E">
    <w:pPr>
      <w:pStyle w:val="Footer"/>
      <w:tabs>
        <w:tab w:val="clear" w:pos="4320"/>
        <w:tab w:val="clear" w:pos="8640"/>
        <w:tab w:val="right" w:pos="10080"/>
      </w:tabs>
      <w:ind w:left="-720"/>
      <w:jc w:val="center"/>
      <w:rPr>
        <w:rFonts w:ascii="Book Antiqua" w:hAnsi="Book Antiqua"/>
      </w:rPr>
    </w:pPr>
    <w:r w:rsidRPr="00320161">
      <w:rPr>
        <w:rFonts w:ascii="Book Antiqua" w:hAnsi="Book Antiqua" w:cs="Arial"/>
        <w:smallCaps/>
        <w:sz w:val="16"/>
        <w:szCs w:val="20"/>
      </w:rPr>
      <w:t>P</w:t>
    </w:r>
    <w:r w:rsidR="006F544B">
      <w:rPr>
        <w:rFonts w:ascii="Book Antiqua" w:hAnsi="Book Antiqua" w:cs="Arial"/>
        <w:smallCaps/>
        <w:sz w:val="16"/>
        <w:szCs w:val="20"/>
      </w:rPr>
      <w:t>D</w:t>
    </w:r>
    <w:r w:rsidRPr="00320161">
      <w:rPr>
        <w:rFonts w:ascii="Book Antiqua" w:hAnsi="Book Antiqua" w:cs="Arial"/>
        <w:smallCaps/>
        <w:sz w:val="16"/>
        <w:szCs w:val="20"/>
      </w:rPr>
      <w:t>C</w:t>
    </w:r>
    <w:r w:rsidR="005E61F4">
      <w:rPr>
        <w:rFonts w:ascii="Book Antiqua" w:hAnsi="Book Antiqua" w:cs="Arial"/>
        <w:smallCaps/>
        <w:sz w:val="16"/>
        <w:szCs w:val="20"/>
      </w:rPr>
      <w:t>- REVISED</w:t>
    </w:r>
    <w:r w:rsidR="00132812" w:rsidRPr="00320161">
      <w:rPr>
        <w:rFonts w:ascii="Book Antiqua" w:hAnsi="Book Antiqua" w:cs="Arial"/>
        <w:smallCaps/>
        <w:sz w:val="16"/>
        <w:szCs w:val="20"/>
      </w:rPr>
      <w:t xml:space="preserve"> </w:t>
    </w:r>
    <w:r w:rsidR="005E61F4">
      <w:rPr>
        <w:rFonts w:ascii="Book Antiqua" w:hAnsi="Book Antiqua" w:cs="Arial"/>
        <w:smallCaps/>
        <w:sz w:val="16"/>
        <w:szCs w:val="20"/>
      </w:rPr>
      <w:t>February</w:t>
    </w:r>
    <w:r w:rsidR="00CC26C7">
      <w:rPr>
        <w:rFonts w:ascii="Book Antiqua" w:hAnsi="Book Antiqua" w:cs="Arial"/>
        <w:smallCaps/>
        <w:sz w:val="16"/>
        <w:szCs w:val="20"/>
      </w:rPr>
      <w:t xml:space="preserve"> 2</w:t>
    </w:r>
    <w:r w:rsidR="005E61F4">
      <w:rPr>
        <w:rFonts w:ascii="Book Antiqua" w:hAnsi="Book Antiqua" w:cs="Arial"/>
        <w:smallCaps/>
        <w:sz w:val="16"/>
        <w:szCs w:val="20"/>
      </w:rPr>
      <w:t>022</w:t>
    </w:r>
    <w:r w:rsidR="004A7979" w:rsidRPr="00320161">
      <w:rPr>
        <w:rFonts w:ascii="Book Antiqua" w:hAnsi="Book Antiqua" w:cs="Arial"/>
        <w:smallCaps/>
        <w:sz w:val="16"/>
        <w:szCs w:val="20"/>
      </w:rPr>
      <w:tab/>
      <w:t xml:space="preserve">Page </w:t>
    </w:r>
    <w:r w:rsidR="004A7979" w:rsidRPr="00320161">
      <w:rPr>
        <w:rStyle w:val="PageNumber"/>
        <w:rFonts w:ascii="Book Antiqua" w:hAnsi="Book Antiqua"/>
        <w:smallCaps/>
        <w:sz w:val="16"/>
      </w:rPr>
      <w:fldChar w:fldCharType="begin"/>
    </w:r>
    <w:r w:rsidR="004A7979" w:rsidRPr="00320161">
      <w:rPr>
        <w:rStyle w:val="PageNumber"/>
        <w:rFonts w:ascii="Book Antiqua" w:hAnsi="Book Antiqua"/>
        <w:smallCaps/>
        <w:sz w:val="16"/>
      </w:rPr>
      <w:instrText xml:space="preserve"> PAGE </w:instrText>
    </w:r>
    <w:r w:rsidR="004A7979" w:rsidRPr="00320161">
      <w:rPr>
        <w:rStyle w:val="PageNumber"/>
        <w:rFonts w:ascii="Book Antiqua" w:hAnsi="Book Antiqua"/>
        <w:smallCaps/>
        <w:sz w:val="16"/>
      </w:rPr>
      <w:fldChar w:fldCharType="separate"/>
    </w:r>
    <w:r w:rsidR="00320161">
      <w:rPr>
        <w:rStyle w:val="PageNumber"/>
        <w:rFonts w:ascii="Book Antiqua" w:hAnsi="Book Antiqua"/>
        <w:smallCaps/>
        <w:noProof/>
        <w:sz w:val="16"/>
      </w:rPr>
      <w:t>1</w:t>
    </w:r>
    <w:r w:rsidR="004A7979" w:rsidRPr="00320161">
      <w:rPr>
        <w:rStyle w:val="PageNumber"/>
        <w:rFonts w:ascii="Book Antiqua" w:hAnsi="Book Antiqua"/>
        <w:smallCaps/>
        <w:sz w:val="16"/>
      </w:rPr>
      <w:fldChar w:fldCharType="end"/>
    </w:r>
    <w:r w:rsidR="004A7979" w:rsidRPr="00320161">
      <w:rPr>
        <w:rStyle w:val="PageNumber"/>
        <w:rFonts w:ascii="Book Antiqua" w:hAnsi="Book Antiqua"/>
        <w:smallCaps/>
        <w:sz w:val="16"/>
      </w:rPr>
      <w:t xml:space="preserve"> of </w:t>
    </w:r>
    <w:r w:rsidR="004A7979" w:rsidRPr="00320161">
      <w:rPr>
        <w:rStyle w:val="PageNumber"/>
        <w:rFonts w:ascii="Book Antiqua" w:hAnsi="Book Antiqua"/>
        <w:smallCaps/>
        <w:sz w:val="16"/>
      </w:rPr>
      <w:fldChar w:fldCharType="begin"/>
    </w:r>
    <w:r w:rsidR="004A7979" w:rsidRPr="00320161">
      <w:rPr>
        <w:rStyle w:val="PageNumber"/>
        <w:rFonts w:ascii="Book Antiqua" w:hAnsi="Book Antiqua"/>
        <w:smallCaps/>
        <w:sz w:val="16"/>
      </w:rPr>
      <w:instrText xml:space="preserve"> NUMPAGES </w:instrText>
    </w:r>
    <w:r w:rsidR="004A7979" w:rsidRPr="00320161">
      <w:rPr>
        <w:rStyle w:val="PageNumber"/>
        <w:rFonts w:ascii="Book Antiqua" w:hAnsi="Book Antiqua"/>
        <w:smallCaps/>
        <w:sz w:val="16"/>
      </w:rPr>
      <w:fldChar w:fldCharType="separate"/>
    </w:r>
    <w:r w:rsidR="00320161">
      <w:rPr>
        <w:rStyle w:val="PageNumber"/>
        <w:rFonts w:ascii="Book Antiqua" w:hAnsi="Book Antiqua"/>
        <w:smallCaps/>
        <w:noProof/>
        <w:sz w:val="16"/>
      </w:rPr>
      <w:t>2</w:t>
    </w:r>
    <w:r w:rsidR="004A7979" w:rsidRPr="00320161">
      <w:rPr>
        <w:rStyle w:val="PageNumber"/>
        <w:rFonts w:ascii="Book Antiqua" w:hAnsi="Book Antiqua"/>
        <w:smallCap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C7C1" w14:textId="77777777" w:rsidR="00387B05" w:rsidRDefault="00387B05">
      <w:r>
        <w:separator/>
      </w:r>
    </w:p>
  </w:footnote>
  <w:footnote w:type="continuationSeparator" w:id="0">
    <w:p w14:paraId="2A75C7C2" w14:textId="77777777" w:rsidR="00387B05" w:rsidRDefault="00387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EA67" w14:textId="77777777" w:rsidR="005E61F4" w:rsidRDefault="005E6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C7C5" w14:textId="77777777" w:rsidR="004A7979" w:rsidRDefault="004A7979">
    <w:pPr>
      <w:pStyle w:val="Header"/>
      <w:rPr>
        <w:sz w:val="16"/>
      </w:rPr>
    </w:pPr>
    <w:r>
      <w:rPr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C7C7" w14:textId="77777777" w:rsidR="004A7979" w:rsidRDefault="007B6056">
    <w:pPr>
      <w:pBdr>
        <w:bottom w:val="single" w:sz="6" w:space="1" w:color="auto"/>
      </w:pBdr>
      <w:tabs>
        <w:tab w:val="right" w:pos="10080"/>
      </w:tabs>
      <w:ind w:left="-720" w:right="-720"/>
      <w:rPr>
        <w:rFonts w:ascii="Book Antiqua" w:hAnsi="Book Antiqua"/>
        <w:sz w:val="16"/>
      </w:rPr>
    </w:pPr>
    <w:r>
      <w:rPr>
        <w:rFonts w:ascii="Book Antiqua" w:hAnsi="Book Antiqua"/>
        <w:noProof/>
        <w:sz w:val="16"/>
      </w:rPr>
      <w:drawing>
        <wp:inline distT="0" distB="0" distL="0" distR="0" wp14:anchorId="2A75C7CB" wp14:editId="2A75C7CC">
          <wp:extent cx="1714500" cy="314325"/>
          <wp:effectExtent l="0" t="0" r="0" b="9525"/>
          <wp:docPr id="1" name="Picture 1" descr="UF_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_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7979">
      <w:rPr>
        <w:rFonts w:ascii="Book Antiqua" w:hAnsi="Book Antiqua"/>
        <w:sz w:val="16"/>
      </w:rPr>
      <w:tab/>
      <w:t>www.facilities.ufl.edu</w:t>
    </w:r>
  </w:p>
  <w:p w14:paraId="2A75C7C8" w14:textId="75FCC75B" w:rsidR="004A7979" w:rsidRDefault="00C6219D" w:rsidP="00650B34">
    <w:pPr>
      <w:tabs>
        <w:tab w:val="right" w:pos="10080"/>
      </w:tabs>
      <w:spacing w:after="240"/>
      <w:ind w:left="-720" w:right="-720"/>
      <w:rPr>
        <w:rFonts w:ascii="Book Antiqua" w:hAnsi="Book Antiqua"/>
        <w:smallCaps/>
        <w:sz w:val="16"/>
      </w:rPr>
    </w:pPr>
    <w:r w:rsidRPr="00F018A3">
      <w:rPr>
        <w:rFonts w:ascii="Book Antiqua" w:hAnsi="Book Antiqua"/>
        <w:bCs/>
        <w:smallCaps/>
        <w:sz w:val="16"/>
      </w:rPr>
      <w:t>Business Affairs</w:t>
    </w:r>
    <w:r w:rsidR="004A7979">
      <w:rPr>
        <w:rFonts w:ascii="Book Antiqua" w:hAnsi="Book Antiqua"/>
        <w:smallCaps/>
        <w:sz w:val="16"/>
      </w:rPr>
      <w:tab/>
      <w:t xml:space="preserve">Planning </w:t>
    </w:r>
    <w:r w:rsidR="006F544B">
      <w:rPr>
        <w:rFonts w:ascii="Book Antiqua" w:hAnsi="Book Antiqua"/>
        <w:smallCaps/>
        <w:sz w:val="16"/>
      </w:rPr>
      <w:t>Design &amp;</w:t>
    </w:r>
    <w:r w:rsidR="004A7979">
      <w:rPr>
        <w:rFonts w:ascii="Book Antiqua" w:hAnsi="Book Antiqua"/>
        <w:smallCaps/>
        <w:sz w:val="16"/>
      </w:rPr>
      <w:t xml:space="preserve"> Construction </w:t>
    </w:r>
  </w:p>
  <w:p w14:paraId="2A75C7C9" w14:textId="7D78EDA8" w:rsidR="004A7979" w:rsidRPr="00650B34" w:rsidRDefault="00650B34" w:rsidP="00650B34">
    <w:pPr>
      <w:pStyle w:val="Heading1"/>
      <w:shd w:val="clear" w:color="auto" w:fill="000000"/>
      <w:rPr>
        <w:sz w:val="22"/>
        <w:szCs w:val="22"/>
      </w:rPr>
    </w:pPr>
    <w:r w:rsidRPr="00650B34">
      <w:rPr>
        <w:sz w:val="22"/>
        <w:szCs w:val="22"/>
      </w:rPr>
      <w:t>P</w:t>
    </w:r>
    <w:r w:rsidR="006F544B">
      <w:rPr>
        <w:sz w:val="22"/>
        <w:szCs w:val="22"/>
      </w:rPr>
      <w:t>D</w:t>
    </w:r>
    <w:r w:rsidRPr="00650B34">
      <w:rPr>
        <w:sz w:val="22"/>
        <w:szCs w:val="22"/>
      </w:rPr>
      <w:t>C Project Management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349"/>
    <w:multiLevelType w:val="hybridMultilevel"/>
    <w:tmpl w:val="0C7060A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5D8E9DC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7545B2"/>
    <w:multiLevelType w:val="hybridMultilevel"/>
    <w:tmpl w:val="2BBE85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12EAB"/>
    <w:multiLevelType w:val="hybridMultilevel"/>
    <w:tmpl w:val="431CE8A0"/>
    <w:lvl w:ilvl="0" w:tplc="491AEF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3587D"/>
    <w:multiLevelType w:val="hybridMultilevel"/>
    <w:tmpl w:val="CB52894A"/>
    <w:lvl w:ilvl="0" w:tplc="33408A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E87B15"/>
    <w:multiLevelType w:val="hybridMultilevel"/>
    <w:tmpl w:val="822EA966"/>
    <w:lvl w:ilvl="0" w:tplc="491AEF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8D5249"/>
    <w:multiLevelType w:val="hybridMultilevel"/>
    <w:tmpl w:val="7A6AB3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D8E9DC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F860EA"/>
    <w:multiLevelType w:val="hybridMultilevel"/>
    <w:tmpl w:val="984621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D3BDA"/>
    <w:multiLevelType w:val="hybridMultilevel"/>
    <w:tmpl w:val="5FD285BE"/>
    <w:lvl w:ilvl="0" w:tplc="7A546238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FE66C3A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C83FEB"/>
    <w:multiLevelType w:val="hybridMultilevel"/>
    <w:tmpl w:val="B0C4C190"/>
    <w:lvl w:ilvl="0" w:tplc="A9BC0CE6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C12282"/>
    <w:multiLevelType w:val="hybridMultilevel"/>
    <w:tmpl w:val="3D4CDE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F000AE0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7726CFA"/>
    <w:multiLevelType w:val="hybridMultilevel"/>
    <w:tmpl w:val="7F58C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2425BE"/>
    <w:multiLevelType w:val="hybridMultilevel"/>
    <w:tmpl w:val="786AF524"/>
    <w:lvl w:ilvl="0" w:tplc="5B4AB720">
      <w:start w:val="3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F3DE3212">
      <w:start w:val="1"/>
      <w:numFmt w:val="lowerLetter"/>
      <w:lvlText w:val="%2."/>
      <w:lvlJc w:val="left"/>
      <w:pPr>
        <w:tabs>
          <w:tab w:val="num" w:pos="1440"/>
        </w:tabs>
        <w:ind w:left="158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02D396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CD64C9"/>
    <w:multiLevelType w:val="hybridMultilevel"/>
    <w:tmpl w:val="80E0A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AB3CCD"/>
    <w:multiLevelType w:val="hybridMultilevel"/>
    <w:tmpl w:val="EFCE5AFC"/>
    <w:lvl w:ilvl="0" w:tplc="E376AD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8647E4"/>
    <w:multiLevelType w:val="hybridMultilevel"/>
    <w:tmpl w:val="7452D32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5D8E9DC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4F2140F"/>
    <w:multiLevelType w:val="hybridMultilevel"/>
    <w:tmpl w:val="84D8D07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140B0D"/>
    <w:multiLevelType w:val="hybridMultilevel"/>
    <w:tmpl w:val="43DCAF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4117A1"/>
    <w:multiLevelType w:val="hybridMultilevel"/>
    <w:tmpl w:val="F66E897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C2665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33D56A5"/>
    <w:multiLevelType w:val="hybridMultilevel"/>
    <w:tmpl w:val="651450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675A3A"/>
    <w:multiLevelType w:val="hybridMultilevel"/>
    <w:tmpl w:val="515A72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2766F93"/>
    <w:multiLevelType w:val="hybridMultilevel"/>
    <w:tmpl w:val="3C8EA00E"/>
    <w:lvl w:ilvl="0" w:tplc="491AEF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A6758F"/>
    <w:multiLevelType w:val="hybridMultilevel"/>
    <w:tmpl w:val="766214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BAF476C"/>
    <w:multiLevelType w:val="multilevel"/>
    <w:tmpl w:val="20E2E1A0"/>
    <w:lvl w:ilvl="0">
      <w:start w:val="1"/>
      <w:numFmt w:val="decimal"/>
      <w:pStyle w:val="OutlineLevel1"/>
      <w:lvlText w:val="ARTICLE %1"/>
      <w:lvlJc w:val="left"/>
      <w:pPr>
        <w:tabs>
          <w:tab w:val="num" w:pos="144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OutlineLevel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OutlineLevel3"/>
      <w:lvlText w:val="%1.%2.%3"/>
      <w:lvlJc w:val="left"/>
      <w:pPr>
        <w:tabs>
          <w:tab w:val="num" w:pos="1440"/>
        </w:tabs>
        <w:ind w:left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OutlineLevel4"/>
      <w:lvlText w:val=".%4"/>
      <w:lvlJc w:val="left"/>
      <w:pPr>
        <w:tabs>
          <w:tab w:val="num" w:pos="2088"/>
        </w:tabs>
        <w:ind w:left="864" w:firstLine="86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4"/>
  </w:num>
  <w:num w:numId="5">
    <w:abstractNumId w:val="5"/>
  </w:num>
  <w:num w:numId="6">
    <w:abstractNumId w:val="12"/>
  </w:num>
  <w:num w:numId="7">
    <w:abstractNumId w:val="13"/>
  </w:num>
  <w:num w:numId="8">
    <w:abstractNumId w:val="23"/>
  </w:num>
  <w:num w:numId="9">
    <w:abstractNumId w:val="11"/>
  </w:num>
  <w:num w:numId="10">
    <w:abstractNumId w:val="8"/>
  </w:num>
  <w:num w:numId="11">
    <w:abstractNumId w:val="20"/>
  </w:num>
  <w:num w:numId="12">
    <w:abstractNumId w:val="10"/>
  </w:num>
  <w:num w:numId="13">
    <w:abstractNumId w:val="3"/>
  </w:num>
  <w:num w:numId="14">
    <w:abstractNumId w:val="18"/>
  </w:num>
  <w:num w:numId="15">
    <w:abstractNumId w:val="9"/>
  </w:num>
  <w:num w:numId="16">
    <w:abstractNumId w:val="1"/>
  </w:num>
  <w:num w:numId="17">
    <w:abstractNumId w:val="2"/>
  </w:num>
  <w:num w:numId="18">
    <w:abstractNumId w:val="14"/>
  </w:num>
  <w:num w:numId="19">
    <w:abstractNumId w:val="22"/>
  </w:num>
  <w:num w:numId="20">
    <w:abstractNumId w:val="0"/>
  </w:num>
  <w:num w:numId="21">
    <w:abstractNumId w:val="6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B8"/>
    <w:rsid w:val="00003B0F"/>
    <w:rsid w:val="00015D39"/>
    <w:rsid w:val="0002088B"/>
    <w:rsid w:val="00073813"/>
    <w:rsid w:val="00077BD6"/>
    <w:rsid w:val="00086FA8"/>
    <w:rsid w:val="00092C21"/>
    <w:rsid w:val="000A157F"/>
    <w:rsid w:val="000A4F97"/>
    <w:rsid w:val="000C6F72"/>
    <w:rsid w:val="000D0081"/>
    <w:rsid w:val="00102344"/>
    <w:rsid w:val="0010531A"/>
    <w:rsid w:val="001078AB"/>
    <w:rsid w:val="0011466E"/>
    <w:rsid w:val="00132812"/>
    <w:rsid w:val="00143789"/>
    <w:rsid w:val="001457B7"/>
    <w:rsid w:val="00181FB1"/>
    <w:rsid w:val="001D6A82"/>
    <w:rsid w:val="00251EF7"/>
    <w:rsid w:val="0028240F"/>
    <w:rsid w:val="00284449"/>
    <w:rsid w:val="002C41CB"/>
    <w:rsid w:val="002D377D"/>
    <w:rsid w:val="002D54ED"/>
    <w:rsid w:val="002E2049"/>
    <w:rsid w:val="00303B0A"/>
    <w:rsid w:val="003153AA"/>
    <w:rsid w:val="00320161"/>
    <w:rsid w:val="00331537"/>
    <w:rsid w:val="00346497"/>
    <w:rsid w:val="00384D8C"/>
    <w:rsid w:val="00387B05"/>
    <w:rsid w:val="003A5805"/>
    <w:rsid w:val="003B143E"/>
    <w:rsid w:val="003D0025"/>
    <w:rsid w:val="003D2AD7"/>
    <w:rsid w:val="003E1B50"/>
    <w:rsid w:val="00421A57"/>
    <w:rsid w:val="004512FC"/>
    <w:rsid w:val="004724F7"/>
    <w:rsid w:val="004859A7"/>
    <w:rsid w:val="00486F95"/>
    <w:rsid w:val="00493408"/>
    <w:rsid w:val="00494EFD"/>
    <w:rsid w:val="004A7979"/>
    <w:rsid w:val="004D29DA"/>
    <w:rsid w:val="004D2CD9"/>
    <w:rsid w:val="004E0BA5"/>
    <w:rsid w:val="004F4859"/>
    <w:rsid w:val="005014FA"/>
    <w:rsid w:val="00534051"/>
    <w:rsid w:val="0053508A"/>
    <w:rsid w:val="00540CE6"/>
    <w:rsid w:val="0056601B"/>
    <w:rsid w:val="00571E02"/>
    <w:rsid w:val="005A23EF"/>
    <w:rsid w:val="005D1F76"/>
    <w:rsid w:val="005E2ADD"/>
    <w:rsid w:val="005E61F4"/>
    <w:rsid w:val="006158BD"/>
    <w:rsid w:val="006220A7"/>
    <w:rsid w:val="00647449"/>
    <w:rsid w:val="00650B34"/>
    <w:rsid w:val="00682992"/>
    <w:rsid w:val="006A0391"/>
    <w:rsid w:val="006C72A5"/>
    <w:rsid w:val="006E3E72"/>
    <w:rsid w:val="006F544B"/>
    <w:rsid w:val="00764601"/>
    <w:rsid w:val="00770F0E"/>
    <w:rsid w:val="00790D11"/>
    <w:rsid w:val="00793455"/>
    <w:rsid w:val="007B5037"/>
    <w:rsid w:val="007B6056"/>
    <w:rsid w:val="007C718C"/>
    <w:rsid w:val="007D4318"/>
    <w:rsid w:val="008023EF"/>
    <w:rsid w:val="00811495"/>
    <w:rsid w:val="00817155"/>
    <w:rsid w:val="008212E6"/>
    <w:rsid w:val="00825934"/>
    <w:rsid w:val="008323DA"/>
    <w:rsid w:val="00857772"/>
    <w:rsid w:val="00883B05"/>
    <w:rsid w:val="00885CAB"/>
    <w:rsid w:val="008D378A"/>
    <w:rsid w:val="008F077F"/>
    <w:rsid w:val="008F2320"/>
    <w:rsid w:val="008F63FE"/>
    <w:rsid w:val="00915996"/>
    <w:rsid w:val="00932F97"/>
    <w:rsid w:val="00943EF9"/>
    <w:rsid w:val="00951E95"/>
    <w:rsid w:val="00966FF9"/>
    <w:rsid w:val="00975F3A"/>
    <w:rsid w:val="009864D0"/>
    <w:rsid w:val="00990A32"/>
    <w:rsid w:val="0099637F"/>
    <w:rsid w:val="009C30A1"/>
    <w:rsid w:val="009C39C2"/>
    <w:rsid w:val="009E0534"/>
    <w:rsid w:val="009E24D8"/>
    <w:rsid w:val="009E3D11"/>
    <w:rsid w:val="00A1603F"/>
    <w:rsid w:val="00A343BE"/>
    <w:rsid w:val="00A42004"/>
    <w:rsid w:val="00A42081"/>
    <w:rsid w:val="00A63B90"/>
    <w:rsid w:val="00A648E9"/>
    <w:rsid w:val="00A7539B"/>
    <w:rsid w:val="00A9232B"/>
    <w:rsid w:val="00A9534F"/>
    <w:rsid w:val="00A96588"/>
    <w:rsid w:val="00AD6B2C"/>
    <w:rsid w:val="00AE0180"/>
    <w:rsid w:val="00AF00DD"/>
    <w:rsid w:val="00B07BBD"/>
    <w:rsid w:val="00B16524"/>
    <w:rsid w:val="00B209C2"/>
    <w:rsid w:val="00B23F45"/>
    <w:rsid w:val="00B756D2"/>
    <w:rsid w:val="00B80BB7"/>
    <w:rsid w:val="00B82747"/>
    <w:rsid w:val="00B93A2C"/>
    <w:rsid w:val="00BC29F7"/>
    <w:rsid w:val="00BC2D86"/>
    <w:rsid w:val="00BC3513"/>
    <w:rsid w:val="00BC533A"/>
    <w:rsid w:val="00BF7937"/>
    <w:rsid w:val="00C00953"/>
    <w:rsid w:val="00C2249D"/>
    <w:rsid w:val="00C359B0"/>
    <w:rsid w:val="00C4339B"/>
    <w:rsid w:val="00C4557F"/>
    <w:rsid w:val="00C6219D"/>
    <w:rsid w:val="00C70B6A"/>
    <w:rsid w:val="00C71C0E"/>
    <w:rsid w:val="00C71D74"/>
    <w:rsid w:val="00C7269C"/>
    <w:rsid w:val="00C8148B"/>
    <w:rsid w:val="00C94D90"/>
    <w:rsid w:val="00CB015B"/>
    <w:rsid w:val="00CC26C7"/>
    <w:rsid w:val="00CC5088"/>
    <w:rsid w:val="00CC5171"/>
    <w:rsid w:val="00CD3FC4"/>
    <w:rsid w:val="00D022D3"/>
    <w:rsid w:val="00D057E4"/>
    <w:rsid w:val="00D078C2"/>
    <w:rsid w:val="00D2548E"/>
    <w:rsid w:val="00D30F60"/>
    <w:rsid w:val="00D36DF9"/>
    <w:rsid w:val="00D519FF"/>
    <w:rsid w:val="00D939D7"/>
    <w:rsid w:val="00DA6BD4"/>
    <w:rsid w:val="00DA7247"/>
    <w:rsid w:val="00DC08B8"/>
    <w:rsid w:val="00DD1E1D"/>
    <w:rsid w:val="00DE3269"/>
    <w:rsid w:val="00E03B79"/>
    <w:rsid w:val="00E22432"/>
    <w:rsid w:val="00E275EB"/>
    <w:rsid w:val="00E4212F"/>
    <w:rsid w:val="00E8145F"/>
    <w:rsid w:val="00EC3889"/>
    <w:rsid w:val="00EE6CE1"/>
    <w:rsid w:val="00F01DA0"/>
    <w:rsid w:val="00F15B28"/>
    <w:rsid w:val="00F16734"/>
    <w:rsid w:val="00F2277D"/>
    <w:rsid w:val="00F34B8C"/>
    <w:rsid w:val="00F4058D"/>
    <w:rsid w:val="00F439A7"/>
    <w:rsid w:val="00F45394"/>
    <w:rsid w:val="00F55629"/>
    <w:rsid w:val="00F8347F"/>
    <w:rsid w:val="00FD2070"/>
    <w:rsid w:val="00FF0BA2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A75C798"/>
  <w15:docId w15:val="{548C588C-A64D-4609-A9E0-DAB643F9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080"/>
      </w:tabs>
      <w:spacing w:after="240"/>
      <w:ind w:left="-720" w:right="-720"/>
      <w:jc w:val="center"/>
      <w:outlineLvl w:val="0"/>
    </w:pPr>
    <w:rPr>
      <w:rFonts w:ascii="Book Antiqua" w:hAnsi="Book Antiqua"/>
      <w:b/>
      <w:bCs/>
      <w:smallCaps/>
      <w:sz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both"/>
      <w:outlineLvl w:val="1"/>
    </w:pPr>
    <w:rPr>
      <w:rFonts w:ascii="Arial" w:hAnsi="Arial"/>
      <w:b/>
      <w:bCs/>
      <w:smallCap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autoSpaceDE w:val="0"/>
      <w:autoSpaceDN w:val="0"/>
      <w:adjustRightInd w:val="0"/>
      <w:jc w:val="both"/>
      <w:outlineLvl w:val="2"/>
    </w:pPr>
    <w:rPr>
      <w:rFonts w:ascii="Arial" w:hAnsi="Arial" w:cs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szCs w:val="20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sz w:val="20"/>
      <w:szCs w:val="20"/>
    </w:rPr>
  </w:style>
  <w:style w:type="paragraph" w:styleId="BodyTextIndent">
    <w:name w:val="Body Text Indent"/>
    <w:basedOn w:val="Normal"/>
    <w:pPr>
      <w:tabs>
        <w:tab w:val="left" w:pos="1980"/>
      </w:tabs>
      <w:autoSpaceDE w:val="0"/>
      <w:autoSpaceDN w:val="0"/>
      <w:adjustRightInd w:val="0"/>
      <w:ind w:left="1980" w:hanging="1980"/>
      <w:jc w:val="both"/>
    </w:pPr>
    <w:rPr>
      <w:rFonts w:ascii="Arial" w:hAnsi="Arial" w:cs="Arial"/>
      <w:sz w:val="20"/>
    </w:rPr>
  </w:style>
  <w:style w:type="paragraph" w:styleId="Subtitle">
    <w:name w:val="Subtitle"/>
    <w:basedOn w:val="Normal"/>
    <w:qFormat/>
    <w:pPr>
      <w:tabs>
        <w:tab w:val="left" w:pos="1980"/>
      </w:tabs>
      <w:autoSpaceDE w:val="0"/>
      <w:autoSpaceDN w:val="0"/>
      <w:adjustRightInd w:val="0"/>
      <w:ind w:left="1980" w:hanging="1980"/>
      <w:jc w:val="center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autoSpaceDE w:val="0"/>
      <w:autoSpaceDN w:val="0"/>
      <w:adjustRightInd w:val="0"/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OutlineLevel1">
    <w:name w:val="Outline Level 1"/>
    <w:basedOn w:val="Normal"/>
    <w:rsid w:val="004512FC"/>
    <w:pPr>
      <w:keepLines/>
      <w:numPr>
        <w:numId w:val="8"/>
      </w:numPr>
      <w:tabs>
        <w:tab w:val="clear" w:pos="1440"/>
        <w:tab w:val="num" w:pos="720"/>
      </w:tabs>
      <w:spacing w:before="120" w:after="120"/>
      <w:jc w:val="center"/>
      <w:outlineLvl w:val="0"/>
    </w:pPr>
    <w:rPr>
      <w:b/>
      <w:szCs w:val="20"/>
    </w:rPr>
  </w:style>
  <w:style w:type="paragraph" w:customStyle="1" w:styleId="OutlineLevel2">
    <w:name w:val="Outline Level 2"/>
    <w:basedOn w:val="Normal"/>
    <w:rsid w:val="004512FC"/>
    <w:pPr>
      <w:numPr>
        <w:ilvl w:val="1"/>
        <w:numId w:val="8"/>
      </w:numPr>
      <w:spacing w:before="120" w:after="120"/>
      <w:jc w:val="both"/>
      <w:outlineLvl w:val="1"/>
    </w:pPr>
    <w:rPr>
      <w:b/>
      <w:szCs w:val="20"/>
    </w:rPr>
  </w:style>
  <w:style w:type="paragraph" w:customStyle="1" w:styleId="OutlineLevel3">
    <w:name w:val="Outline Level 3"/>
    <w:basedOn w:val="OutlineLevel2"/>
    <w:rsid w:val="004512FC"/>
    <w:pPr>
      <w:numPr>
        <w:ilvl w:val="2"/>
      </w:numPr>
      <w:tabs>
        <w:tab w:val="clear" w:pos="1440"/>
        <w:tab w:val="num" w:pos="360"/>
      </w:tabs>
      <w:ind w:left="360" w:firstLine="0"/>
      <w:outlineLvl w:val="2"/>
    </w:pPr>
    <w:rPr>
      <w:b w:val="0"/>
    </w:rPr>
  </w:style>
  <w:style w:type="paragraph" w:customStyle="1" w:styleId="OutlineLevel4">
    <w:name w:val="Outline Level 4"/>
    <w:basedOn w:val="OutlineLevel3"/>
    <w:rsid w:val="004512FC"/>
    <w:pPr>
      <w:numPr>
        <w:ilvl w:val="3"/>
      </w:numPr>
      <w:tabs>
        <w:tab w:val="clear" w:pos="2088"/>
        <w:tab w:val="num" w:pos="360"/>
      </w:tabs>
      <w:ind w:left="360" w:hanging="360"/>
      <w:outlineLvl w:val="3"/>
    </w:pPr>
  </w:style>
  <w:style w:type="paragraph" w:styleId="ListParagraph">
    <w:name w:val="List Paragraph"/>
    <w:basedOn w:val="Normal"/>
    <w:uiPriority w:val="34"/>
    <w:qFormat/>
    <w:rsid w:val="0011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93720f-35d3-472c-b969-daf3aa70184f">NHC5VPADES2S-1066462848-285</_dlc_DocId>
    <_dlc_DocIdUrl xmlns="6893720f-35d3-472c-b969-daf3aa70184f">
      <Url>https://uflorida.sharepoint.com/sites/pdc/prj/_layouts/15/DocIdRedir.aspx?ID=NHC5VPADES2S-1066462848-285</Url>
      <Description>NHC5VPADES2S-1066462848-285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675194FBBC419BA85341AFD23E35" ma:contentTypeVersion="19" ma:contentTypeDescription="Create a new document." ma:contentTypeScope="" ma:versionID="19ba0991739cd2ce25bb79a1b76ce518">
  <xsd:schema xmlns:xsd="http://www.w3.org/2001/XMLSchema" xmlns:xs="http://www.w3.org/2001/XMLSchema" xmlns:p="http://schemas.microsoft.com/office/2006/metadata/properties" xmlns:ns2="6893720f-35d3-472c-b969-daf3aa70184f" xmlns:ns3="6ad83005-c4b1-4ed8-bb42-cd0754dcb6cb" xmlns:ns4="a660bf85-90a5-496f-9621-e40bf4dfa019" targetNamespace="http://schemas.microsoft.com/office/2006/metadata/properties" ma:root="true" ma:fieldsID="5f2b59cfe2a5a8d4f4c186632afed710" ns2:_="" ns3:_="" ns4:_="">
    <xsd:import namespace="6893720f-35d3-472c-b969-daf3aa70184f"/>
    <xsd:import namespace="6ad83005-c4b1-4ed8-bb42-cd0754dcb6cb"/>
    <xsd:import namespace="a660bf85-90a5-496f-9621-e40bf4dfa0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3720f-35d3-472c-b969-daf3aa7018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83005-c4b1-4ed8-bb42-cd0754dc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0bf85-90a5-496f-9621-e40bf4dfa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267DF-D809-4488-B8F1-928FFCA17D82}">
  <ds:schemaRefs>
    <ds:schemaRef ds:uri="6ad83005-c4b1-4ed8-bb42-cd0754dcb6cb"/>
    <ds:schemaRef ds:uri="http://www.w3.org/XML/1998/namespace"/>
    <ds:schemaRef ds:uri="http://purl.org/dc/dcmitype/"/>
    <ds:schemaRef ds:uri="6893720f-35d3-472c-b969-daf3aa70184f"/>
    <ds:schemaRef ds:uri="http://schemas.microsoft.com/office/2006/metadata/properties"/>
    <ds:schemaRef ds:uri="a660bf85-90a5-496f-9621-e40bf4dfa01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974E401-9B9B-42BF-9423-6AFF251C6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3720f-35d3-472c-b969-daf3aa70184f"/>
    <ds:schemaRef ds:uri="6ad83005-c4b1-4ed8-bb42-cd0754dcb6cb"/>
    <ds:schemaRef ds:uri="a660bf85-90a5-496f-9621-e40bf4dfa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19F9C5-F68D-4F31-8F7D-A7A77B14DC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625DA9-861E-4EA9-89AF-A9D8FF615E4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A1A94B8-A393-4B6D-AB20-9CC19B9D70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844</Words>
  <Characters>4777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Policy for UF Minor Projects Exceeding $1,000,000</vt:lpstr>
    </vt:vector>
  </TitlesOfParts>
  <Company>University of Florida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Policy for UF Minor Projects Exceeding $1,000,000</dc:title>
  <dc:creator>Ferguson</dc:creator>
  <cp:lastModifiedBy>McKinney, Mac</cp:lastModifiedBy>
  <cp:revision>2</cp:revision>
  <cp:lastPrinted>2019-09-11T15:34:00Z</cp:lastPrinted>
  <dcterms:created xsi:type="dcterms:W3CDTF">2022-02-21T16:47:00Z</dcterms:created>
  <dcterms:modified xsi:type="dcterms:W3CDTF">2022-02-21T16:47:00Z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4600.00000000000</vt:lpwstr>
  </property>
  <property fmtid="{D5CDD505-2E9C-101B-9397-08002B2CF9AE}" pid="3" name="_dlc_DocIdItemGuid">
    <vt:lpwstr>a28b5ea8-dbae-4fdc-acc3-f4b953eb1e92</vt:lpwstr>
  </property>
  <property fmtid="{D5CDD505-2E9C-101B-9397-08002B2CF9AE}" pid="4" name="ContentTypeId">
    <vt:lpwstr>0x010100C322675194FBBC419BA85341AFD23E35</vt:lpwstr>
  </property>
</Properties>
</file>