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11" w:rsidRDefault="00CD2911" w:rsidP="00CD2911">
      <w:pPr>
        <w:pBdr>
          <w:bottom w:val="single" w:sz="18" w:space="1" w:color="auto"/>
        </w:pBdr>
        <w:spacing w:before="40"/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CD2911" w:rsidRDefault="00CD2911" w:rsidP="00CD2911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4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4860"/>
        <w:gridCol w:w="1440"/>
        <w:gridCol w:w="7740"/>
        <w:gridCol w:w="54"/>
      </w:tblGrid>
      <w:tr w:rsidR="00CD2911" w:rsidTr="00BF32F5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463"/>
        </w:trPr>
        <w:tc>
          <w:tcPr>
            <w:tcW w:w="450" w:type="dxa"/>
            <w:tcBorders>
              <w:top w:val="single" w:sz="2" w:space="0" w:color="auto"/>
            </w:tcBorders>
            <w:shd w:val="pct10" w:color="auto" w:fill="FFFFFF"/>
          </w:tcPr>
          <w:p w:rsidR="00CD2911" w:rsidRDefault="00CD2911" w:rsidP="00D00512">
            <w:pPr>
              <w:ind w:left="-72" w:right="-72"/>
              <w:jc w:val="center"/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2</w:t>
            </w:r>
            <w:r w:rsidR="00D00512">
              <w:rPr>
                <w:rFonts w:ascii="Arial" w:hAnsi="Arial"/>
                <w:b/>
                <w:smallCaps/>
                <w:sz w:val="28"/>
              </w:rPr>
              <w:t>3</w:t>
            </w:r>
            <w:bookmarkStart w:id="0" w:name="_GoBack"/>
            <w:bookmarkEnd w:id="0"/>
          </w:p>
        </w:tc>
        <w:tc>
          <w:tcPr>
            <w:tcW w:w="4860" w:type="dxa"/>
            <w:tcBorders>
              <w:top w:val="single" w:sz="2" w:space="0" w:color="auto"/>
            </w:tcBorders>
            <w:shd w:val="pct10" w:color="auto" w:fill="FFFFFF"/>
          </w:tcPr>
          <w:p w:rsidR="00CD2911" w:rsidRDefault="00CD2911" w:rsidP="00BF32F5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Utility Services Transfer</w:t>
            </w:r>
          </w:p>
        </w:tc>
        <w:tc>
          <w:tcPr>
            <w:tcW w:w="918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CD2911" w:rsidRDefault="00CD2911" w:rsidP="00BF32F5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CD2911" w:rsidRDefault="00CD2911" w:rsidP="00BF32F5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PPD)</w:t>
            </w:r>
          </w:p>
        </w:tc>
      </w:tr>
      <w:tr w:rsidR="00CD2911" w:rsidTr="00BF32F5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D2911" w:rsidRDefault="00CD2911" w:rsidP="00BF32F5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D2911" w:rsidRDefault="00CD2911" w:rsidP="00BF32F5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D2911" w:rsidRDefault="00CD2911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2911" w:rsidRDefault="00CD2911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CD2911" w:rsidTr="00BF32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911" w:rsidRDefault="00CD2911" w:rsidP="00BF32F5">
            <w:pPr>
              <w:ind w:left="-72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1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911" w:rsidRDefault="00CD291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Water Meter documentation and Start-up with initial reading</w:t>
            </w:r>
          </w:p>
          <w:p w:rsidR="00CD2911" w:rsidRDefault="00CD2911" w:rsidP="00BF32F5">
            <w:pPr>
              <w:rPr>
                <w:snapToGrid w:val="0"/>
                <w:sz w:val="18"/>
              </w:rPr>
            </w:pPr>
          </w:p>
          <w:p w:rsidR="00CD2911" w:rsidRDefault="00CD291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Chilled water meter documentation Start-up with initial reading taken</w:t>
            </w:r>
          </w:p>
          <w:p w:rsidR="00CD2911" w:rsidRDefault="00CD2911" w:rsidP="00BF32F5">
            <w:pPr>
              <w:rPr>
                <w:snapToGrid w:val="0"/>
                <w:sz w:val="18"/>
              </w:rPr>
            </w:pPr>
          </w:p>
          <w:p w:rsidR="00CD2911" w:rsidRDefault="00CD291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Electric Meter documentation Start-up with initial reading taken</w:t>
            </w:r>
          </w:p>
          <w:p w:rsidR="00CD2911" w:rsidRDefault="00CD2911" w:rsidP="00BF32F5">
            <w:pPr>
              <w:rPr>
                <w:snapToGrid w:val="0"/>
                <w:sz w:val="18"/>
              </w:rPr>
            </w:pPr>
          </w:p>
          <w:p w:rsidR="00CD2911" w:rsidRDefault="00CD291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Steam meter documentation Start-up with initial reading taken</w:t>
            </w:r>
          </w:p>
          <w:p w:rsidR="00CD2911" w:rsidRDefault="00CD2911" w:rsidP="00BF32F5">
            <w:pPr>
              <w:rPr>
                <w:snapToGrid w:val="0"/>
                <w:sz w:val="18"/>
              </w:rPr>
            </w:pPr>
          </w:p>
          <w:p w:rsidR="00CD2911" w:rsidRDefault="00CD291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Gas Meter documentation Start-up with initial reading taken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911" w:rsidRDefault="00CD2911" w:rsidP="00BF32F5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72 Hours</w:t>
            </w:r>
          </w:p>
        </w:tc>
        <w:tc>
          <w:tcPr>
            <w:tcW w:w="7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2911" w:rsidRDefault="00CD2911" w:rsidP="00BF32F5">
            <w:pPr>
              <w:rPr>
                <w:b/>
                <w:smallCaps/>
                <w:sz w:val="18"/>
              </w:rPr>
            </w:pPr>
            <w:r>
              <w:rPr>
                <w:snapToGrid w:val="0"/>
                <w:sz w:val="18"/>
              </w:rPr>
              <w:t>Contractor to provide O&amp;M manuals for specified meters and provide start-up training.</w:t>
            </w:r>
          </w:p>
        </w:tc>
      </w:tr>
      <w:tr w:rsidR="00CD2911" w:rsidTr="00BF32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911" w:rsidRDefault="00CD2911" w:rsidP="00BF32F5">
            <w:pPr>
              <w:ind w:left="-72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2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911" w:rsidRDefault="00CD291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SCI: final meter reading and account transfer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911" w:rsidRDefault="00CD2911" w:rsidP="00BF32F5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72 Hours</w:t>
            </w:r>
          </w:p>
        </w:tc>
        <w:tc>
          <w:tcPr>
            <w:tcW w:w="7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2911" w:rsidRDefault="00CD2911" w:rsidP="00BF32F5">
            <w:pPr>
              <w:rPr>
                <w:b/>
                <w:smallCaps/>
                <w:sz w:val="18"/>
              </w:rPr>
            </w:pPr>
            <w:r>
              <w:rPr>
                <w:snapToGrid w:val="0"/>
                <w:sz w:val="18"/>
              </w:rPr>
              <w:t>Final meter reading will be done by PPD and the contractor representative.  FP&amp;C PM must notify PPD Accounting if and when any project specific alternate utility payment arrangements are made.</w:t>
            </w:r>
          </w:p>
        </w:tc>
      </w:tr>
    </w:tbl>
    <w:p w:rsidR="00CD2911" w:rsidRDefault="00CD2911" w:rsidP="00CD2911">
      <w:pPr>
        <w:pStyle w:val="Header"/>
        <w:tabs>
          <w:tab w:val="clear" w:pos="4320"/>
          <w:tab w:val="clear" w:pos="8640"/>
        </w:tabs>
        <w:spacing w:before="40"/>
        <w:ind w:right="-90"/>
      </w:pPr>
    </w:p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12" w:rsidRDefault="00D00512" w:rsidP="00D00512">
      <w:r>
        <w:separator/>
      </w:r>
    </w:p>
  </w:endnote>
  <w:endnote w:type="continuationSeparator" w:id="0">
    <w:p w:rsidR="00D00512" w:rsidRDefault="00D00512" w:rsidP="00D0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EB" w:rsidRDefault="00D00512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16. Keys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EB" w:rsidRDefault="00D00512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2</w:t>
    </w:r>
    <w:r>
      <w:rPr>
        <w:rFonts w:ascii="Book Antiqua" w:hAnsi="Book Antiqua"/>
        <w:b/>
        <w:smallCaps/>
        <w:sz w:val="16"/>
      </w:rPr>
      <w:t>3</w:t>
    </w:r>
    <w:r>
      <w:rPr>
        <w:rFonts w:ascii="Book Antiqua" w:hAnsi="Book Antiqua"/>
        <w:b/>
        <w:smallCaps/>
        <w:sz w:val="16"/>
      </w:rPr>
      <w:t>. Utility Services Transfer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</w:instrText>
    </w:r>
    <w:r>
      <w:rPr>
        <w:rStyle w:val="PageNumber"/>
        <w:rFonts w:ascii="Book Antiqua" w:hAnsi="Book Antiqua"/>
        <w:smallCaps/>
        <w:sz w:val="16"/>
      </w:rPr>
      <w:instrText xml:space="preserve">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12" w:rsidRDefault="00D00512" w:rsidP="00D00512">
      <w:r>
        <w:separator/>
      </w:r>
    </w:p>
  </w:footnote>
  <w:footnote w:type="continuationSeparator" w:id="0">
    <w:p w:rsidR="00D00512" w:rsidRDefault="00D00512" w:rsidP="00D0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50"/>
      <w:gridCol w:w="2700"/>
      <w:gridCol w:w="1170"/>
      <w:gridCol w:w="1080"/>
      <w:gridCol w:w="990"/>
      <w:gridCol w:w="900"/>
      <w:gridCol w:w="1980"/>
      <w:gridCol w:w="5130"/>
    </w:tblGrid>
    <w:tr w:rsidR="006057EB">
      <w:tblPrEx>
        <w:tblCellMar>
          <w:top w:w="0" w:type="dxa"/>
          <w:bottom w:w="0" w:type="dxa"/>
        </w:tblCellMar>
      </w:tblPrEx>
      <w:tc>
        <w:tcPr>
          <w:tcW w:w="450" w:type="dxa"/>
        </w:tcPr>
        <w:p w:rsidR="006057EB" w:rsidRDefault="00D00512">
          <w:pPr>
            <w:pStyle w:val="Heading2"/>
            <w:rPr>
              <w:rFonts w:ascii="Arial" w:hAnsi="Arial"/>
              <w:sz w:val="18"/>
            </w:rPr>
          </w:pPr>
        </w:p>
      </w:tc>
      <w:tc>
        <w:tcPr>
          <w:tcW w:w="2700" w:type="dxa"/>
        </w:tcPr>
        <w:p w:rsidR="006057EB" w:rsidRDefault="00D0051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6057EB" w:rsidRDefault="00D0051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6057EB" w:rsidRDefault="00D0051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6057EB" w:rsidRDefault="00D0051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6057EB" w:rsidRDefault="00D0051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6057EB" w:rsidRDefault="00D0051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6057EB" w:rsidRDefault="00D0051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6057EB" w:rsidRDefault="00D0051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EB" w:rsidRDefault="00D00512">
    <w:pPr>
      <w:pStyle w:val="Header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 xml:space="preserve">PPD Revised: </w:t>
    </w:r>
    <w:r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11"/>
    <w:rsid w:val="004176FA"/>
    <w:rsid w:val="00A37FA0"/>
    <w:rsid w:val="00CD2911"/>
    <w:rsid w:val="00D0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B0C3F-EB5E-4651-8CAB-E0B6D71C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D2911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CD2911"/>
    <w:pPr>
      <w:keepNext/>
      <w:outlineLvl w:val="2"/>
    </w:pPr>
    <w:rPr>
      <w:rFonts w:ascii="Book Antiqua" w:hAnsi="Book Antiqua"/>
      <w:b/>
      <w:bCs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2911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2911"/>
    <w:rPr>
      <w:rFonts w:ascii="Book Antiqua" w:eastAsia="Times New Roman" w:hAnsi="Book Antiqua" w:cs="Times New Roman"/>
      <w:b/>
      <w:bCs/>
      <w:smallCaps/>
      <w:sz w:val="18"/>
      <w:szCs w:val="20"/>
    </w:rPr>
  </w:style>
  <w:style w:type="paragraph" w:styleId="Header">
    <w:name w:val="header"/>
    <w:basedOn w:val="Normal"/>
    <w:link w:val="HeaderChar"/>
    <w:rsid w:val="00CD2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29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D2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291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D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2</cp:revision>
  <dcterms:created xsi:type="dcterms:W3CDTF">2016-04-11T14:58:00Z</dcterms:created>
  <dcterms:modified xsi:type="dcterms:W3CDTF">2016-04-11T14:59:00Z</dcterms:modified>
</cp:coreProperties>
</file>